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EA5E2F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EA5E2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52F1592E" w:rsidR="00C114FF" w:rsidRPr="00F7225D" w:rsidRDefault="00F7225D" w:rsidP="00A9226B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F7225D">
        <w:rPr>
          <w:b/>
          <w:bCs/>
          <w:szCs w:val="22"/>
        </w:rPr>
        <w:t xml:space="preserve">PESTORIN RHDV 2 </w:t>
      </w:r>
      <w:r w:rsidRPr="00360E4B">
        <w:rPr>
          <w:bCs/>
          <w:szCs w:val="22"/>
        </w:rPr>
        <w:t>injekční suspenze</w:t>
      </w:r>
      <w:r w:rsidRPr="00F7225D">
        <w:rPr>
          <w:b/>
          <w:bCs/>
          <w:szCs w:val="22"/>
        </w:rPr>
        <w:t xml:space="preserve"> 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974A175" w14:textId="17C3B6B8" w:rsidR="00F7225D" w:rsidRDefault="00E14F47" w:rsidP="00F7225D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Každá dávka (</w:t>
      </w:r>
      <w:r w:rsidR="00F7225D">
        <w:rPr>
          <w:rFonts w:ascii="Times New Roman" w:hAnsi="Times New Roman"/>
          <w:sz w:val="22"/>
        </w:rPr>
        <w:t>0,5 ml)</w:t>
      </w:r>
      <w:r>
        <w:rPr>
          <w:rFonts w:ascii="Times New Roman" w:hAnsi="Times New Roman"/>
          <w:sz w:val="22"/>
        </w:rPr>
        <w:t xml:space="preserve"> obsahuje</w:t>
      </w:r>
      <w:r w:rsidR="00F7225D">
        <w:rPr>
          <w:rFonts w:ascii="Times New Roman" w:hAnsi="Times New Roman"/>
          <w:sz w:val="22"/>
        </w:rPr>
        <w:t>:</w:t>
      </w:r>
    </w:p>
    <w:p w14:paraId="6A62DEE4" w14:textId="77777777" w:rsidR="00F7225D" w:rsidRDefault="00F7225D" w:rsidP="00F7225D">
      <w:pPr>
        <w:rPr>
          <w:b/>
        </w:rPr>
      </w:pPr>
      <w:r>
        <w:rPr>
          <w:b/>
        </w:rPr>
        <w:t>Léčivá látka:</w:t>
      </w:r>
    </w:p>
    <w:p w14:paraId="74611753" w14:textId="77777777" w:rsidR="00360E4B" w:rsidRDefault="00F7225D" w:rsidP="00F7225D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proofErr w:type="spellStart"/>
      <w:r w:rsidRPr="00360E4B">
        <w:rPr>
          <w:rFonts w:ascii="Times New Roman" w:hAnsi="Times New Roman"/>
          <w:iCs/>
          <w:sz w:val="22"/>
        </w:rPr>
        <w:t>Calicivirus</w:t>
      </w:r>
      <w:proofErr w:type="spellEnd"/>
      <w:r w:rsidRPr="00360E4B">
        <w:rPr>
          <w:rFonts w:ascii="Times New Roman" w:hAnsi="Times New Roman"/>
          <w:iCs/>
          <w:sz w:val="22"/>
        </w:rPr>
        <w:t xml:space="preserve"> </w:t>
      </w:r>
      <w:proofErr w:type="spellStart"/>
      <w:r w:rsidRPr="00360E4B">
        <w:rPr>
          <w:rFonts w:ascii="Times New Roman" w:hAnsi="Times New Roman"/>
          <w:iCs/>
          <w:sz w:val="22"/>
        </w:rPr>
        <w:t>septicemiae</w:t>
      </w:r>
      <w:proofErr w:type="spellEnd"/>
      <w:r w:rsidRPr="00360E4B">
        <w:rPr>
          <w:rFonts w:ascii="Times New Roman" w:hAnsi="Times New Roman"/>
          <w:iCs/>
          <w:sz w:val="22"/>
        </w:rPr>
        <w:t xml:space="preserve"> </w:t>
      </w:r>
      <w:proofErr w:type="spellStart"/>
      <w:r w:rsidRPr="00360E4B">
        <w:rPr>
          <w:rFonts w:ascii="Times New Roman" w:hAnsi="Times New Roman"/>
          <w:iCs/>
          <w:sz w:val="22"/>
        </w:rPr>
        <w:t>haemorrhagiae</w:t>
      </w:r>
      <w:proofErr w:type="spellEnd"/>
      <w:r w:rsidRPr="00360E4B">
        <w:rPr>
          <w:rFonts w:ascii="Times New Roman" w:hAnsi="Times New Roman"/>
          <w:iCs/>
          <w:sz w:val="22"/>
        </w:rPr>
        <w:t xml:space="preserve"> </w:t>
      </w:r>
      <w:proofErr w:type="spellStart"/>
      <w:r w:rsidRPr="00360E4B">
        <w:rPr>
          <w:rFonts w:ascii="Times New Roman" w:hAnsi="Times New Roman"/>
          <w:iCs/>
          <w:sz w:val="22"/>
        </w:rPr>
        <w:t>cuniculi</w:t>
      </w:r>
      <w:proofErr w:type="spellEnd"/>
      <w:r w:rsidRPr="00360E4B">
        <w:rPr>
          <w:rFonts w:ascii="Times New Roman" w:hAnsi="Times New Roman"/>
          <w:iCs/>
          <w:sz w:val="22"/>
        </w:rPr>
        <w:t xml:space="preserve"> </w:t>
      </w:r>
      <w:proofErr w:type="spellStart"/>
      <w:r w:rsidRPr="00360E4B">
        <w:rPr>
          <w:rFonts w:ascii="Times New Roman" w:hAnsi="Times New Roman"/>
          <w:iCs/>
          <w:sz w:val="22"/>
        </w:rPr>
        <w:t>inactivatum</w:t>
      </w:r>
      <w:proofErr w:type="spellEnd"/>
      <w:r w:rsidRPr="00360E4B">
        <w:rPr>
          <w:rFonts w:ascii="Times New Roman" w:hAnsi="Times New Roman"/>
          <w:iCs/>
          <w:sz w:val="22"/>
        </w:rPr>
        <w:t>, typ 2 (RHDV 2)</w:t>
      </w:r>
      <w:r w:rsidR="00E14F47">
        <w:rPr>
          <w:rFonts w:ascii="Times New Roman" w:hAnsi="Times New Roman"/>
          <w:sz w:val="22"/>
        </w:rPr>
        <w:t>, kmen Česká Lípa</w:t>
      </w:r>
      <w:r>
        <w:rPr>
          <w:rFonts w:ascii="Times New Roman" w:hAnsi="Times New Roman"/>
          <w:sz w:val="22"/>
        </w:rPr>
        <w:tab/>
      </w:r>
    </w:p>
    <w:p w14:paraId="6E0DC56A" w14:textId="3084DEB8" w:rsidR="00F7225D" w:rsidRDefault="00F7225D" w:rsidP="00F7225D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min. 80*</w:t>
      </w:r>
    </w:p>
    <w:p w14:paraId="215B65A0" w14:textId="77777777" w:rsidR="00F7225D" w:rsidRDefault="00F7225D" w:rsidP="00F7225D">
      <w:pPr>
        <w:rPr>
          <w:sz w:val="20"/>
        </w:rPr>
      </w:pPr>
    </w:p>
    <w:p w14:paraId="4A56772D" w14:textId="77777777" w:rsidR="00F7225D" w:rsidRDefault="00F7225D" w:rsidP="00F7225D">
      <w:pPr>
        <w:rPr>
          <w:sz w:val="20"/>
        </w:rPr>
      </w:pPr>
      <w:r>
        <w:rPr>
          <w:sz w:val="20"/>
        </w:rPr>
        <w:t>* Titr hemaglutinačně inhibičních protilátek po podání vakcíny laboratorním zvířatům (králík)</w:t>
      </w:r>
    </w:p>
    <w:p w14:paraId="7226E132" w14:textId="77777777" w:rsidR="00F7225D" w:rsidRDefault="00F7225D" w:rsidP="00F7225D">
      <w:pPr>
        <w:rPr>
          <w:szCs w:val="22"/>
        </w:rPr>
      </w:pPr>
      <w:r>
        <w:rPr>
          <w:szCs w:val="22"/>
        </w:rPr>
        <w:t xml:space="preserve"> </w:t>
      </w:r>
    </w:p>
    <w:p w14:paraId="4CD3F737" w14:textId="77777777" w:rsidR="00E14F47" w:rsidRDefault="00F7225D" w:rsidP="00F7225D">
      <w:pPr>
        <w:rPr>
          <w:szCs w:val="22"/>
        </w:rPr>
      </w:pPr>
      <w:r>
        <w:rPr>
          <w:b/>
        </w:rPr>
        <w:t>Adjuvans</w:t>
      </w:r>
      <w:r>
        <w:rPr>
          <w:b/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</w:p>
    <w:p w14:paraId="589A31ED" w14:textId="7ABFE0D4" w:rsidR="00F7225D" w:rsidRDefault="00F7225D" w:rsidP="00F7225D">
      <w:pPr>
        <w:rPr>
          <w:szCs w:val="22"/>
        </w:rPr>
      </w:pPr>
      <w:r>
        <w:rPr>
          <w:szCs w:val="22"/>
        </w:rPr>
        <w:t xml:space="preserve">Hydroxid hlinitý hydratovaný pro </w:t>
      </w:r>
      <w:proofErr w:type="spellStart"/>
      <w:r>
        <w:rPr>
          <w:szCs w:val="22"/>
        </w:rPr>
        <w:t>adsorbci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2%</w:t>
      </w:r>
      <w:proofErr w:type="gramEnd"/>
      <w:r>
        <w:rPr>
          <w:szCs w:val="22"/>
        </w:rPr>
        <w:t xml:space="preserve">   </w:t>
      </w:r>
      <w:r>
        <w:rPr>
          <w:szCs w:val="22"/>
        </w:rPr>
        <w:tab/>
        <w:t>0,1 ml</w:t>
      </w:r>
    </w:p>
    <w:p w14:paraId="2E211BC7" w14:textId="77777777" w:rsidR="00E14F47" w:rsidRDefault="00E14F47" w:rsidP="00F7225D">
      <w:pPr>
        <w:rPr>
          <w:b/>
          <w:szCs w:val="22"/>
        </w:rPr>
      </w:pPr>
    </w:p>
    <w:p w14:paraId="5AAF3855" w14:textId="0CEDD42E" w:rsidR="00E14F47" w:rsidRDefault="00E14F47" w:rsidP="00F7225D">
      <w:pPr>
        <w:rPr>
          <w:b/>
          <w:szCs w:val="22"/>
        </w:rPr>
      </w:pPr>
      <w:r>
        <w:rPr>
          <w:b/>
        </w:rPr>
        <w:t>Pomocné látk</w:t>
      </w:r>
      <w:r w:rsidR="00814B4A">
        <w:rPr>
          <w:b/>
        </w:rPr>
        <w:t>y</w:t>
      </w:r>
      <w:r w:rsidR="00F7225D">
        <w:rPr>
          <w:b/>
          <w:szCs w:val="22"/>
        </w:rPr>
        <w:t xml:space="preserve">:  </w:t>
      </w:r>
      <w:r w:rsidR="00F7225D">
        <w:rPr>
          <w:b/>
          <w:szCs w:val="22"/>
        </w:rPr>
        <w:tab/>
      </w:r>
      <w:r w:rsidR="00F7225D">
        <w:rPr>
          <w:b/>
          <w:szCs w:val="22"/>
        </w:rPr>
        <w:tab/>
      </w:r>
    </w:p>
    <w:p w14:paraId="1F3E5154" w14:textId="57FB31B8" w:rsidR="00F7225D" w:rsidRDefault="00F7225D" w:rsidP="00F7225D">
      <w:pPr>
        <w:rPr>
          <w:szCs w:val="22"/>
        </w:rPr>
      </w:pPr>
      <w:proofErr w:type="spellStart"/>
      <w:r>
        <w:rPr>
          <w:szCs w:val="22"/>
        </w:rPr>
        <w:t>Thiomersal</w:t>
      </w:r>
      <w:proofErr w:type="spellEnd"/>
      <w:r>
        <w:rPr>
          <w:szCs w:val="22"/>
        </w:rPr>
        <w:t xml:space="preserve">                                                               </w:t>
      </w:r>
      <w:r>
        <w:rPr>
          <w:szCs w:val="22"/>
        </w:rPr>
        <w:tab/>
        <w:t>0,05 mg</w:t>
      </w:r>
    </w:p>
    <w:p w14:paraId="2085707B" w14:textId="77777777" w:rsidR="00724AA2" w:rsidRDefault="00724AA2" w:rsidP="00F7225D">
      <w:pPr>
        <w:rPr>
          <w:szCs w:val="22"/>
        </w:rPr>
      </w:pPr>
    </w:p>
    <w:p w14:paraId="1110956F" w14:textId="77777777" w:rsidR="00724AA2" w:rsidRPr="00651BC8" w:rsidRDefault="00724AA2" w:rsidP="00724AA2">
      <w:pPr>
        <w:jc w:val="both"/>
        <w:outlineLvl w:val="0"/>
      </w:pPr>
      <w:r w:rsidRPr="00827023">
        <w:t>Kapalina bílé až šedobílé barvy</w:t>
      </w:r>
      <w:r>
        <w:t>.</w:t>
      </w:r>
      <w:r w:rsidRPr="00827023">
        <w:t xml:space="preserve"> Při delším stání se obsah rozdělí na čirou tekutinu a mléčně bílý až šedobílý sediment, který se po roztřepání homogenně rozptýlí.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69DC3E" w14:textId="0465060F" w:rsidR="001477D4" w:rsidRDefault="001477D4" w:rsidP="001477D4">
      <w:pPr>
        <w:pStyle w:val="Styl00"/>
        <w:ind w:left="709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Králí</w:t>
      </w:r>
      <w:r w:rsidR="00D8347C">
        <w:rPr>
          <w:rFonts w:ascii="Times New Roman" w:hAnsi="Times New Roman"/>
          <w:sz w:val="22"/>
        </w:rPr>
        <w:t>ci</w:t>
      </w:r>
      <w:r>
        <w:rPr>
          <w:rFonts w:ascii="Times New Roman" w:hAnsi="Times New Roman"/>
          <w:sz w:val="22"/>
        </w:rPr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D9E601" w14:textId="77777777" w:rsidR="001477D4" w:rsidRDefault="001477D4" w:rsidP="001477D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K aktivní imunizaci králíků bez mateřských protilátek od věku 4 týdnů k prevenci mortality způsobené virem </w:t>
      </w:r>
      <w:proofErr w:type="spellStart"/>
      <w:r>
        <w:t>hemorhagického</w:t>
      </w:r>
      <w:proofErr w:type="spellEnd"/>
      <w:r>
        <w:t xml:space="preserve"> onemocnění králíků typu 2 (RHDV2).</w:t>
      </w:r>
    </w:p>
    <w:p w14:paraId="0259964C" w14:textId="77777777" w:rsidR="001477D4" w:rsidRDefault="001477D4" w:rsidP="001477D4">
      <w:pPr>
        <w:widowControl w:val="0"/>
        <w:shd w:val="clear" w:color="auto" w:fill="FFFFFF"/>
        <w:autoSpaceDE w:val="0"/>
        <w:autoSpaceDN w:val="0"/>
        <w:adjustRightInd w:val="0"/>
        <w:rPr>
          <w:noProof/>
          <w:color w:val="000000"/>
          <w:spacing w:val="-1"/>
          <w:szCs w:val="22"/>
        </w:rPr>
      </w:pPr>
    </w:p>
    <w:p w14:paraId="41E7A498" w14:textId="77777777" w:rsidR="001477D4" w:rsidRDefault="001477D4" w:rsidP="001477D4">
      <w:pPr>
        <w:widowControl w:val="0"/>
        <w:shd w:val="clear" w:color="auto" w:fill="FFFFFF"/>
        <w:autoSpaceDE w:val="0"/>
        <w:autoSpaceDN w:val="0"/>
        <w:adjustRightInd w:val="0"/>
        <w:rPr>
          <w:noProof/>
          <w:color w:val="000000"/>
          <w:spacing w:val="-1"/>
          <w:szCs w:val="22"/>
          <w:lang w:eastAsia="cs-CZ"/>
        </w:rPr>
      </w:pPr>
      <w:r>
        <w:rPr>
          <w:noProof/>
          <w:color w:val="000000"/>
          <w:spacing w:val="-1"/>
          <w:szCs w:val="22"/>
          <w:lang w:val="yo-NG"/>
        </w:rPr>
        <w:t xml:space="preserve">Nástup imunity: </w:t>
      </w:r>
      <w:r>
        <w:rPr>
          <w:noProof/>
          <w:color w:val="000000"/>
          <w:spacing w:val="-1"/>
          <w:szCs w:val="22"/>
        </w:rPr>
        <w:tab/>
      </w:r>
      <w:r>
        <w:rPr>
          <w:noProof/>
          <w:color w:val="000000"/>
          <w:spacing w:val="-1"/>
          <w:szCs w:val="22"/>
        </w:rPr>
        <w:tab/>
        <w:t xml:space="preserve">7 dnů </w:t>
      </w:r>
      <w:r>
        <w:rPr>
          <w:noProof/>
          <w:color w:val="000000"/>
          <w:spacing w:val="-1"/>
          <w:szCs w:val="22"/>
          <w:lang w:val="yo-NG"/>
        </w:rPr>
        <w:t xml:space="preserve"> po vakcinaci.</w:t>
      </w:r>
    </w:p>
    <w:p w14:paraId="6EA243E5" w14:textId="77777777" w:rsidR="001477D4" w:rsidRDefault="001477D4" w:rsidP="001477D4">
      <w:pPr>
        <w:widowControl w:val="0"/>
        <w:shd w:val="clear" w:color="auto" w:fill="FFFFFF"/>
        <w:autoSpaceDE w:val="0"/>
        <w:autoSpaceDN w:val="0"/>
        <w:adjustRightInd w:val="0"/>
        <w:rPr>
          <w:noProof/>
          <w:szCs w:val="22"/>
        </w:rPr>
      </w:pPr>
      <w:r>
        <w:rPr>
          <w:noProof/>
          <w:color w:val="000000"/>
          <w:szCs w:val="22"/>
          <w:lang w:val="yo-NG"/>
        </w:rPr>
        <w:t xml:space="preserve">Doba trvání imunity: </w:t>
      </w:r>
      <w:r>
        <w:rPr>
          <w:noProof/>
          <w:color w:val="000000"/>
          <w:szCs w:val="22"/>
        </w:rPr>
        <w:tab/>
        <w:t xml:space="preserve"> </w:t>
      </w:r>
      <w:r>
        <w:rPr>
          <w:szCs w:val="22"/>
        </w:rPr>
        <w:t>6 měsíců po vakcinaci.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5B0F14" w14:textId="77777777" w:rsidR="00FD1D5A" w:rsidRDefault="00FD1D5A" w:rsidP="00FD1D5A">
      <w:pPr>
        <w:rPr>
          <w:snapToGrid w:val="0"/>
        </w:rPr>
      </w:pPr>
      <w:r>
        <w:t>Nejsou.</w:t>
      </w:r>
      <w:r>
        <w:rPr>
          <w:snapToGrid w:val="0"/>
        </w:rPr>
        <w:t xml:space="preserve"> 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422939D0" w:rsidR="00F354C5" w:rsidRPr="00B41D57" w:rsidRDefault="00EA5E2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1564299" w14:textId="77777777" w:rsidR="00880EE6" w:rsidRDefault="00880EE6" w:rsidP="00880EE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F076601" w:rsidR="00F354C5" w:rsidRPr="00B41D57" w:rsidRDefault="00EA5E2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E2CFF27" w14:textId="77777777" w:rsidR="00FD1D5A" w:rsidRDefault="00FD1D5A" w:rsidP="00FD1D5A">
      <w:pPr>
        <w:jc w:val="both"/>
      </w:pPr>
      <w:r>
        <w:t xml:space="preserve">Mateřské protilátky mají negativní vliv na účinnost vakcinace. Tam, kde se očekává přítomnost mateřských protilátek, je třeba plán vakcinace odpovídajícím způsobem upravit. </w:t>
      </w:r>
    </w:p>
    <w:p w14:paraId="6F4533AA" w14:textId="77777777" w:rsidR="00FD1D5A" w:rsidRDefault="00FD1D5A" w:rsidP="00FD1D5A">
      <w:pPr>
        <w:jc w:val="both"/>
      </w:pPr>
      <w:r>
        <w:t>Nebyly provedeny zkoušky bezpečnosti a účinnosti u zakrslých (</w:t>
      </w:r>
      <w:proofErr w:type="spellStart"/>
      <w:r>
        <w:t>pet</w:t>
      </w:r>
      <w:proofErr w:type="spellEnd"/>
      <w:r>
        <w:t>) králíků.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E3EA74C" w:rsidR="00F354C5" w:rsidRPr="00B41D57" w:rsidRDefault="00EA5E2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3D86FBB" w14:textId="77777777" w:rsidR="00FD1D5A" w:rsidRDefault="00FD1D5A" w:rsidP="00FD1D5A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V případě náhodného sebepoškození injekčně aplikovaným přípravkem vyhledejte ihned lékařskou pomoc a ukažte příbalovou informaci nebo etiketu praktickému lékaři.</w:t>
      </w:r>
    </w:p>
    <w:p w14:paraId="66C7A33A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2240F4B2" w:rsidR="005B1FD0" w:rsidRPr="00B41D57" w:rsidRDefault="00EA5E2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499F96FB" w14:textId="77777777" w:rsidR="00FD1D5A" w:rsidRDefault="00FD1D5A" w:rsidP="00FD1D5A">
      <w:r>
        <w:lastRenderedPageBreak/>
        <w:t xml:space="preserve">Lze použít během březosti. Nedoporučuje se vakcinovat ramlice v posledním týdnu březosti </w:t>
      </w:r>
    </w:p>
    <w:p w14:paraId="5A8BB72C" w14:textId="7176107F" w:rsidR="005B1FD0" w:rsidRDefault="00FD1D5A" w:rsidP="00360E4B">
      <w:pPr>
        <w:tabs>
          <w:tab w:val="clear" w:pos="567"/>
        </w:tabs>
        <w:spacing w:line="240" w:lineRule="auto"/>
      </w:pPr>
      <w:r>
        <w:t>pro možnost abortu nešetrnou fixací.</w:t>
      </w:r>
    </w:p>
    <w:p w14:paraId="5963BD97" w14:textId="77777777" w:rsidR="00360E4B" w:rsidRPr="00B41D57" w:rsidRDefault="00360E4B" w:rsidP="00360E4B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F778F80" w:rsidR="005B1FD0" w:rsidRPr="00B41D57" w:rsidRDefault="00EA5E2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BFEBFCB" w14:textId="75D4F466" w:rsidR="00FD1D5A" w:rsidRDefault="00FD1D5A" w:rsidP="00FD1D5A">
      <w:pPr>
        <w:jc w:val="both"/>
        <w:rPr>
          <w:szCs w:val="22"/>
        </w:rPr>
      </w:pPr>
      <w:r>
        <w:t xml:space="preserve">Dostupné údaje o bezpečnosti a účinnosti dokládají, že vakcínu </w:t>
      </w:r>
      <w:proofErr w:type="spellStart"/>
      <w:r>
        <w:t>Pestorin</w:t>
      </w:r>
      <w:proofErr w:type="spellEnd"/>
      <w:r>
        <w:t xml:space="preserve"> RHDV2 lze podávat ve stejný den, ale nemísit s vakcínou proti myxomatóze </w:t>
      </w:r>
      <w:proofErr w:type="spellStart"/>
      <w:r>
        <w:t>Myxoren</w:t>
      </w:r>
      <w:proofErr w:type="spellEnd"/>
      <w:r>
        <w:t>. Vakcíny</w:t>
      </w:r>
      <w:r>
        <w:rPr>
          <w:szCs w:val="22"/>
        </w:rPr>
        <w:t xml:space="preserve"> musí být aplikovány do odlišných míst. V případě takového podání nebyla prokázána úplná prevence mortality, ale snížení mortality proti RHDV2. </w:t>
      </w:r>
    </w:p>
    <w:p w14:paraId="69B748E0" w14:textId="626D2198" w:rsidR="005B1FD0" w:rsidRPr="00B41D57" w:rsidRDefault="00A94B0B" w:rsidP="00360E4B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073F2CCE" w:rsidR="005B1FD0" w:rsidRPr="00B41D57" w:rsidRDefault="00EA5E2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5E9D165" w14:textId="4A9AEE4A" w:rsidR="00880EE6" w:rsidRPr="00880EE6" w:rsidRDefault="00A94B0B" w:rsidP="00880EE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Nemísit s jiným</w:t>
      </w:r>
      <w:r w:rsidR="00880EE6" w:rsidRPr="00880EE6">
        <w:rPr>
          <w:szCs w:val="22"/>
        </w:rPr>
        <w:t xml:space="preserve"> veterinární</w:t>
      </w:r>
      <w:r>
        <w:rPr>
          <w:szCs w:val="22"/>
        </w:rPr>
        <w:t>m</w:t>
      </w:r>
      <w:r w:rsidR="00880EE6" w:rsidRPr="00880EE6">
        <w:rPr>
          <w:szCs w:val="22"/>
        </w:rPr>
        <w:t xml:space="preserve"> léčivý</w:t>
      </w:r>
      <w:r>
        <w:rPr>
          <w:szCs w:val="22"/>
        </w:rPr>
        <w:t>m</w:t>
      </w:r>
      <w:r w:rsidR="00880EE6" w:rsidRPr="00880EE6">
        <w:rPr>
          <w:szCs w:val="22"/>
        </w:rPr>
        <w:t xml:space="preserve"> příprav</w:t>
      </w:r>
      <w:r>
        <w:rPr>
          <w:szCs w:val="22"/>
        </w:rPr>
        <w:t>kem</w:t>
      </w:r>
      <w:r w:rsidR="00880EE6" w:rsidRPr="00880EE6">
        <w:rPr>
          <w:szCs w:val="22"/>
        </w:rPr>
        <w:t>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2A976822" w14:textId="77777777" w:rsidR="007A44ED" w:rsidRDefault="007A44ED" w:rsidP="00A9226B">
      <w:pPr>
        <w:tabs>
          <w:tab w:val="clear" w:pos="567"/>
        </w:tabs>
        <w:spacing w:line="240" w:lineRule="auto"/>
        <w:rPr>
          <w:highlight w:val="lightGray"/>
        </w:rPr>
      </w:pPr>
    </w:p>
    <w:p w14:paraId="784423C2" w14:textId="296631A7" w:rsidR="00F520FE" w:rsidRPr="00B41D57" w:rsidRDefault="00A94B0B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360E4B">
        <w:t xml:space="preserve">Nejsou. 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1533B7F3" w:rsidR="008C7CE5" w:rsidRPr="00995A7D" w:rsidRDefault="00EA5E2F" w:rsidP="00FD1D5A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A94B0B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3F324770" w14:textId="77777777" w:rsidR="00DB5616" w:rsidRPr="002F45DF" w:rsidRDefault="00DB5616" w:rsidP="00DB5616">
      <w:r w:rsidRPr="002F45DF">
        <w:t xml:space="preserve">Ústav pro státní kontrolu veterinárních biopreparátů a léčiv </w:t>
      </w:r>
    </w:p>
    <w:p w14:paraId="06EB57BA" w14:textId="724A795B" w:rsidR="00DB5616" w:rsidRPr="002F45DF" w:rsidRDefault="00DB5616" w:rsidP="00DB5616">
      <w:r w:rsidRPr="002F45DF">
        <w:t xml:space="preserve">Hudcova </w:t>
      </w:r>
      <w:r w:rsidR="00B5093D">
        <w:t>232/</w:t>
      </w:r>
      <w:r w:rsidRPr="002F45DF">
        <w:t xml:space="preserve">56a </w:t>
      </w:r>
    </w:p>
    <w:p w14:paraId="0D912B5A" w14:textId="77777777" w:rsidR="00DB5616" w:rsidRPr="002F45DF" w:rsidRDefault="00DB5616" w:rsidP="00DB5616">
      <w:r w:rsidRPr="002F45DF">
        <w:t>621 00 Brno</w:t>
      </w:r>
    </w:p>
    <w:p w14:paraId="1538D8B1" w14:textId="77777777" w:rsidR="00DB5616" w:rsidRPr="002F45DF" w:rsidRDefault="00DB5616" w:rsidP="00DB5616">
      <w:r w:rsidRPr="002F45DF">
        <w:t xml:space="preserve">Mail: </w:t>
      </w:r>
      <w:hyperlink r:id="rId8" w:history="1">
        <w:r w:rsidRPr="002F45DF">
          <w:rPr>
            <w:rStyle w:val="Hypertextovodkaz"/>
          </w:rPr>
          <w:t>adr@uskvbl.cz</w:t>
        </w:r>
      </w:hyperlink>
    </w:p>
    <w:p w14:paraId="40DDAC3B" w14:textId="77777777" w:rsidR="00DB5616" w:rsidRPr="00E4762D" w:rsidRDefault="00D3168F" w:rsidP="00DB5616">
      <w:hyperlink r:id="rId9" w:history="1">
        <w:r w:rsidR="00DB5616" w:rsidRPr="002F45DF">
          <w:rPr>
            <w:rStyle w:val="Hypertextovodkaz"/>
            <w:szCs w:val="22"/>
          </w:rPr>
          <w:t>http://www.uskvbl.cz/cs/farmakovigilance</w:t>
        </w:r>
      </w:hyperlink>
      <w:r w:rsidR="00DB5616">
        <w:rPr>
          <w:szCs w:val="22"/>
        </w:rPr>
        <w:t xml:space="preserve">. </w:t>
      </w: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9D6802" w14:textId="0FAEB8F6" w:rsidR="0061060B" w:rsidRDefault="0061060B" w:rsidP="00E779A8">
      <w:pPr>
        <w:jc w:val="both"/>
        <w:rPr>
          <w:szCs w:val="22"/>
        </w:rPr>
      </w:pPr>
      <w:bookmarkStart w:id="0" w:name="_Hlk525213224"/>
      <w:r>
        <w:rPr>
          <w:szCs w:val="22"/>
        </w:rPr>
        <w:t xml:space="preserve">Dávkování: </w:t>
      </w:r>
      <w:r w:rsidR="00E779A8">
        <w:rPr>
          <w:szCs w:val="22"/>
        </w:rPr>
        <w:t>podává se vždy 1 dávka (0,5 ml)</w:t>
      </w:r>
      <w:r>
        <w:rPr>
          <w:szCs w:val="22"/>
        </w:rPr>
        <w:t>.</w:t>
      </w:r>
    </w:p>
    <w:p w14:paraId="64C90C27" w14:textId="08E04DAD" w:rsidR="00E779A8" w:rsidRDefault="0061060B" w:rsidP="00E779A8">
      <w:pPr>
        <w:jc w:val="both"/>
        <w:rPr>
          <w:color w:val="000000"/>
          <w:szCs w:val="22"/>
        </w:rPr>
      </w:pPr>
      <w:r>
        <w:rPr>
          <w:szCs w:val="22"/>
        </w:rPr>
        <w:t>Způsob podání:</w:t>
      </w:r>
      <w:r w:rsidR="00E779A8">
        <w:rPr>
          <w:szCs w:val="22"/>
        </w:rPr>
        <w:t xml:space="preserve"> subkutánně.</w:t>
      </w:r>
      <w:r w:rsidR="00E779A8">
        <w:rPr>
          <w:color w:val="000000"/>
          <w:szCs w:val="22"/>
        </w:rPr>
        <w:t xml:space="preserve"> </w:t>
      </w:r>
    </w:p>
    <w:p w14:paraId="2010A29E" w14:textId="77777777" w:rsidR="0061060B" w:rsidRDefault="0061060B" w:rsidP="00E779A8">
      <w:pPr>
        <w:jc w:val="both"/>
        <w:rPr>
          <w:color w:val="000000"/>
          <w:szCs w:val="22"/>
        </w:rPr>
      </w:pPr>
    </w:p>
    <w:p w14:paraId="3CA96100" w14:textId="77777777" w:rsidR="00E779A8" w:rsidRDefault="00E779A8" w:rsidP="00E779A8">
      <w:pPr>
        <w:jc w:val="both"/>
      </w:pPr>
      <w:r>
        <w:rPr>
          <w:szCs w:val="22"/>
        </w:rPr>
        <w:t>Zvířata se vakcinují od 4 týdnů stáří.</w:t>
      </w:r>
      <w:r>
        <w:t xml:space="preserve"> </w:t>
      </w:r>
    </w:p>
    <w:p w14:paraId="62F0100D" w14:textId="263DF0AC" w:rsidR="00E779A8" w:rsidRDefault="00E779A8" w:rsidP="00E779A8">
      <w:pPr>
        <w:jc w:val="both"/>
        <w:rPr>
          <w:szCs w:val="22"/>
        </w:rPr>
      </w:pPr>
      <w:r>
        <w:rPr>
          <w:szCs w:val="22"/>
        </w:rPr>
        <w:t>Revakcinace: v 6 měsíčních intervalech.</w:t>
      </w:r>
    </w:p>
    <w:p w14:paraId="2EA4BDAE" w14:textId="77777777" w:rsidR="00E779A8" w:rsidRDefault="00E779A8" w:rsidP="00E779A8">
      <w:pPr>
        <w:jc w:val="both"/>
        <w:rPr>
          <w:szCs w:val="22"/>
        </w:rPr>
      </w:pPr>
    </w:p>
    <w:p w14:paraId="010D98D4" w14:textId="2E6F68C2" w:rsidR="00E779A8" w:rsidRDefault="00E779A8" w:rsidP="00E779A8">
      <w:pPr>
        <w:jc w:val="both"/>
        <w:rPr>
          <w:szCs w:val="22"/>
        </w:rPr>
      </w:pPr>
      <w:r>
        <w:rPr>
          <w:szCs w:val="22"/>
        </w:rPr>
        <w:t>Příklad možných vakcinačních schémat:</w:t>
      </w:r>
    </w:p>
    <w:p w14:paraId="01AC9D9D" w14:textId="77777777" w:rsidR="00E779A8" w:rsidRDefault="00E779A8" w:rsidP="00E779A8">
      <w:pPr>
        <w:jc w:val="both"/>
        <w:rPr>
          <w:szCs w:val="22"/>
        </w:rPr>
      </w:pPr>
    </w:p>
    <w:p w14:paraId="56274409" w14:textId="77777777" w:rsidR="00E779A8" w:rsidRDefault="00E779A8" w:rsidP="00E779A8">
      <w:pPr>
        <w:jc w:val="both"/>
        <w:rPr>
          <w:szCs w:val="22"/>
        </w:rPr>
      </w:pPr>
      <w:r>
        <w:rPr>
          <w:szCs w:val="22"/>
        </w:rPr>
        <w:t>Králíci od nevakcinovaných matek proti RHDV2: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560"/>
        <w:gridCol w:w="3138"/>
        <w:gridCol w:w="1985"/>
      </w:tblGrid>
      <w:tr w:rsidR="00E779A8" w14:paraId="5CB29A9E" w14:textId="77777777" w:rsidTr="00E779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4DB" w14:textId="77777777" w:rsidR="00E779A8" w:rsidRDefault="00E779A8">
            <w:pPr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Věk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5025" w14:textId="77777777" w:rsidR="00E779A8" w:rsidRDefault="00E779A8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 týdny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8C6F" w14:textId="77777777" w:rsidR="00E779A8" w:rsidRDefault="00E779A8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10 týdnů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54DE" w14:textId="77777777" w:rsidR="00E779A8" w:rsidRDefault="00E779A8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Každých 6 měsíců</w:t>
            </w:r>
          </w:p>
        </w:tc>
      </w:tr>
      <w:tr w:rsidR="00E779A8" w14:paraId="2E61D59E" w14:textId="77777777" w:rsidTr="00E779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94A9" w14:textId="77777777" w:rsidR="00E779A8" w:rsidRDefault="00E779A8">
            <w:pPr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Vakcinace</w:t>
            </w:r>
          </w:p>
          <w:p w14:paraId="716DFB7F" w14:textId="77777777" w:rsidR="00E779A8" w:rsidRDefault="00E779A8">
            <w:pPr>
              <w:rPr>
                <w:rFonts w:eastAsia="Calibri"/>
                <w:b/>
                <w:i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2AC1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RHDV 2</w:t>
            </w:r>
          </w:p>
          <w:p w14:paraId="3BB2EC14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Myxoren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9D6C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Mormyx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</w:p>
          <w:p w14:paraId="56FF1020" w14:textId="77777777" w:rsidR="00E779A8" w:rsidRDefault="00E779A8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(nebo </w:t>
            </w: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+ </w:t>
            </w:r>
            <w:proofErr w:type="spellStart"/>
            <w:r>
              <w:rPr>
                <w:rFonts w:eastAsia="Calibri"/>
                <w:szCs w:val="22"/>
              </w:rPr>
              <w:t>Myxoren</w:t>
            </w:r>
            <w:proofErr w:type="spellEnd"/>
            <w:r>
              <w:rPr>
                <w:rFonts w:eastAsia="Calibri"/>
                <w:szCs w:val="22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7F1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RHDV 2</w:t>
            </w:r>
          </w:p>
          <w:p w14:paraId="1C7803A3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Mormyx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</w:p>
          <w:p w14:paraId="433048B3" w14:textId="77777777" w:rsidR="00E779A8" w:rsidRDefault="00E779A8">
            <w:pPr>
              <w:rPr>
                <w:rFonts w:eastAsia="Calibri"/>
                <w:szCs w:val="22"/>
              </w:rPr>
            </w:pPr>
          </w:p>
        </w:tc>
      </w:tr>
    </w:tbl>
    <w:p w14:paraId="7A4CD906" w14:textId="77777777" w:rsidR="00E779A8" w:rsidRDefault="00E779A8" w:rsidP="00E779A8">
      <w:pPr>
        <w:jc w:val="both"/>
        <w:rPr>
          <w:szCs w:val="22"/>
        </w:rPr>
      </w:pPr>
    </w:p>
    <w:p w14:paraId="712EB815" w14:textId="77777777" w:rsidR="00E779A8" w:rsidRDefault="00E779A8" w:rsidP="00E779A8">
      <w:pPr>
        <w:jc w:val="both"/>
        <w:rPr>
          <w:szCs w:val="22"/>
        </w:rPr>
      </w:pPr>
      <w:r>
        <w:rPr>
          <w:szCs w:val="22"/>
        </w:rPr>
        <w:t>Králíci od vakcinovaných matek proti RHDV2: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515"/>
        <w:gridCol w:w="3207"/>
        <w:gridCol w:w="1960"/>
      </w:tblGrid>
      <w:tr w:rsidR="00E779A8" w14:paraId="4E36CE3C" w14:textId="77777777" w:rsidTr="00E779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F60A" w14:textId="77777777" w:rsidR="00E779A8" w:rsidRDefault="00E779A8">
            <w:pPr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Věk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B393" w14:textId="77777777" w:rsidR="00E779A8" w:rsidRDefault="00E779A8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 týdnů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F55A" w14:textId="77777777" w:rsidR="00E779A8" w:rsidRDefault="00E779A8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10 týdnů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6DB6" w14:textId="77777777" w:rsidR="00E779A8" w:rsidRDefault="00E779A8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Každých 6 měsíců</w:t>
            </w:r>
          </w:p>
        </w:tc>
      </w:tr>
      <w:tr w:rsidR="00E779A8" w14:paraId="25E7F730" w14:textId="77777777" w:rsidTr="00E779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BC06" w14:textId="77777777" w:rsidR="00E779A8" w:rsidRDefault="00E779A8">
            <w:pPr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Vakcinace</w:t>
            </w:r>
          </w:p>
          <w:p w14:paraId="4343FF0E" w14:textId="77777777" w:rsidR="00E779A8" w:rsidRDefault="00E779A8">
            <w:pPr>
              <w:rPr>
                <w:rFonts w:eastAsia="Calibri"/>
                <w:b/>
                <w:i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A3DD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RHDV 2</w:t>
            </w:r>
          </w:p>
          <w:p w14:paraId="6E471EB6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Myxoren</w:t>
            </w:r>
            <w:proofErr w:type="spellEnd"/>
          </w:p>
          <w:p w14:paraId="39722C9F" w14:textId="77777777" w:rsidR="00E779A8" w:rsidRDefault="00E779A8">
            <w:pPr>
              <w:rPr>
                <w:rFonts w:eastAsia="Calibri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9704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Mormyx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</w:p>
          <w:p w14:paraId="1F7C6AB1" w14:textId="77777777" w:rsidR="00E779A8" w:rsidRDefault="00E779A8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(nebo </w:t>
            </w: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+ </w:t>
            </w:r>
            <w:proofErr w:type="spellStart"/>
            <w:r>
              <w:rPr>
                <w:rFonts w:eastAsia="Calibri"/>
                <w:szCs w:val="22"/>
              </w:rPr>
              <w:t>Myxoren</w:t>
            </w:r>
            <w:proofErr w:type="spellEnd"/>
            <w:r>
              <w:rPr>
                <w:rFonts w:eastAsia="Calibri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40F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RHDV 2</w:t>
            </w:r>
          </w:p>
          <w:p w14:paraId="7774E90F" w14:textId="77777777" w:rsidR="00E779A8" w:rsidRDefault="00E779A8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Pestorin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Mormyx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</w:p>
          <w:p w14:paraId="5B1DEBB2" w14:textId="77777777" w:rsidR="00E779A8" w:rsidRDefault="00E779A8">
            <w:pPr>
              <w:rPr>
                <w:rFonts w:eastAsia="Calibri"/>
                <w:szCs w:val="22"/>
              </w:rPr>
            </w:pPr>
          </w:p>
        </w:tc>
      </w:tr>
    </w:tbl>
    <w:p w14:paraId="4F02B903" w14:textId="4AA8EB5D" w:rsidR="00E779A8" w:rsidRDefault="00E779A8" w:rsidP="00E779A8">
      <w:pPr>
        <w:jc w:val="both"/>
        <w:rPr>
          <w:szCs w:val="22"/>
        </w:rPr>
      </w:pPr>
    </w:p>
    <w:p w14:paraId="4D5A3237" w14:textId="400967BB" w:rsidR="0061060B" w:rsidRPr="00360E4B" w:rsidRDefault="0061060B" w:rsidP="00360E4B">
      <w:pPr>
        <w:spacing w:after="120"/>
        <w:jc w:val="both"/>
        <w:rPr>
          <w:szCs w:val="22"/>
          <w:u w:val="single"/>
          <w:lang w:eastAsia="cs-CZ"/>
        </w:rPr>
      </w:pPr>
      <w:r>
        <w:rPr>
          <w:color w:val="222222"/>
          <w:szCs w:val="22"/>
          <w:lang w:eastAsia="cs-CZ"/>
        </w:rPr>
        <w:t xml:space="preserve">Pro králíky od vakcinovaných matek proti RHDV2 nebo v případě, že imunitní stav matek není znám, by mělo být vakcinační schéma </w:t>
      </w:r>
      <w:r>
        <w:rPr>
          <w:szCs w:val="22"/>
          <w:lang w:eastAsia="cs-CZ"/>
        </w:rPr>
        <w:t>upraveno na základě zvážení</w:t>
      </w:r>
      <w:r>
        <w:rPr>
          <w:color w:val="222222"/>
          <w:szCs w:val="22"/>
          <w:lang w:eastAsia="cs-CZ"/>
        </w:rPr>
        <w:t xml:space="preserve"> veterinárního lékaře i jinak, než je uvedeno </w:t>
      </w:r>
      <w:r>
        <w:rPr>
          <w:color w:val="222222"/>
          <w:szCs w:val="22"/>
          <w:lang w:eastAsia="cs-CZ"/>
        </w:rPr>
        <w:lastRenderedPageBreak/>
        <w:t>v navrženém schématu výše, aby se zohlednila případná interference mateřských protilátek s odpovědí na vakcinaci. Pokud je velký infekční tlak onemocněním myxomatózou, doporučuje se proti myxomatóze vakcinovat již od stáří 4 týdnů.</w:t>
      </w:r>
    </w:p>
    <w:bookmarkEnd w:id="0"/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EA52BFA" w14:textId="77777777" w:rsidR="005277F8" w:rsidRDefault="005277F8" w:rsidP="005277F8">
      <w:pPr>
        <w:jc w:val="both"/>
        <w:rPr>
          <w:szCs w:val="22"/>
        </w:rPr>
      </w:pPr>
      <w:r>
        <w:rPr>
          <w:szCs w:val="22"/>
        </w:rPr>
        <w:t>Před podáním obsah lahvičky protřepat.</w:t>
      </w:r>
    </w:p>
    <w:p w14:paraId="6B3FFC67" w14:textId="32AEE6AA" w:rsidR="00F520FE" w:rsidRPr="00B41D57" w:rsidRDefault="00EA5E2F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5277F8">
        <w:t>vakcínu</w:t>
      </w:r>
      <w:r w:rsidRPr="00B41D57">
        <w:t>, pokud si všimnete viditelných známek po</w:t>
      </w:r>
      <w:r w:rsidR="005277F8">
        <w:t>škození</w:t>
      </w:r>
      <w:r>
        <w:t>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EA5E2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BFD32A" w14:textId="77777777" w:rsidR="00EA5E2F" w:rsidRDefault="00EA5E2F" w:rsidP="00EA5E2F">
      <w: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EA5E2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701A88D1" w:rsidR="00C114FF" w:rsidRPr="00B41D57" w:rsidRDefault="00EA5E2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3B21FB5" w14:textId="730CC16D" w:rsidR="00C114FF" w:rsidRPr="00B41D57" w:rsidRDefault="00EA5E2F" w:rsidP="001D4CE4">
      <w:pPr>
        <w:pStyle w:val="Style5"/>
      </w:pPr>
      <w:r w:rsidRPr="00B41D57">
        <w:t>Chraňte před mrazem.</w:t>
      </w:r>
    </w:p>
    <w:p w14:paraId="64809511" w14:textId="65ECC75D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</w:t>
      </w:r>
      <w:r>
        <w:t>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668E3DB7" w:rsidR="00C114FF" w:rsidRPr="00B41D57" w:rsidRDefault="00EA5E2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. </w:t>
      </w:r>
      <w:r w:rsidR="005277F8">
        <w:t>Doba použitelnosti končí posledním dnem v uvedeném měsíci.</w:t>
      </w:r>
    </w:p>
    <w:p w14:paraId="45816CD8" w14:textId="0AA0C6D4" w:rsidR="00C114FF" w:rsidRPr="00B41D57" w:rsidRDefault="00EA5E2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>
        <w:t xml:space="preserve"> 10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EA5E2F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5A8EC9C7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9E27529" w:rsidR="00DB468A" w:rsidRDefault="00EA5E2F" w:rsidP="00DB468A"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FB5A45F" w14:textId="766FC1BA" w:rsidR="005277F8" w:rsidRDefault="005277F8" w:rsidP="00DB468A">
      <w:pPr>
        <w:rPr>
          <w:szCs w:val="22"/>
        </w:rPr>
      </w:pPr>
    </w:p>
    <w:p w14:paraId="3867E818" w14:textId="3BF3A53B" w:rsidR="005277F8" w:rsidRPr="00B41D57" w:rsidRDefault="005277F8" w:rsidP="00DB468A">
      <w:pPr>
        <w:rPr>
          <w:szCs w:val="22"/>
        </w:rPr>
      </w:pPr>
      <w:r>
        <w:t>O možnostech likvidace nepotřebných léčivých přípravků se poraďte s vaším veterinárním lékařem.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EA5E2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B7C4D9" w14:textId="77777777" w:rsidR="00AD76D6" w:rsidRDefault="00AD76D6" w:rsidP="00AD76D6">
      <w:pPr>
        <w:rPr>
          <w:szCs w:val="22"/>
        </w:rPr>
      </w:pPr>
      <w:r>
        <w:rPr>
          <w:szCs w:val="22"/>
        </w:rPr>
        <w:t>Pouze pro zvířata.</w:t>
      </w:r>
    </w:p>
    <w:p w14:paraId="0F2614AC" w14:textId="77777777" w:rsidR="00EA5E2F" w:rsidRPr="00EA5E2F" w:rsidRDefault="00EA5E2F" w:rsidP="00EA5E2F">
      <w:pPr>
        <w:rPr>
          <w:szCs w:val="22"/>
          <w:lang w:eastAsia="cs-CZ"/>
        </w:rPr>
      </w:pPr>
      <w:r w:rsidRPr="00EA5E2F">
        <w:rPr>
          <w:szCs w:val="22"/>
          <w:lang w:eastAsia="cs-CZ"/>
        </w:rPr>
        <w:t xml:space="preserve">Veterinární léčivý přípravek je vydáván pouze na předpis. 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EA5E2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03DFCC" w14:textId="67F12E40" w:rsidR="00880EE6" w:rsidRDefault="00B51D0A" w:rsidP="00880EE6">
      <w:pPr>
        <w:tabs>
          <w:tab w:val="clear" w:pos="567"/>
          <w:tab w:val="left" w:pos="708"/>
        </w:tabs>
        <w:spacing w:line="240" w:lineRule="auto"/>
        <w:rPr>
          <w:caps/>
        </w:rPr>
      </w:pPr>
      <w:r>
        <w:t>Registrační číslo</w:t>
      </w:r>
      <w:r>
        <w:rPr>
          <w:caps/>
        </w:rPr>
        <w:t xml:space="preserve">: </w:t>
      </w:r>
      <w:r w:rsidR="00880EE6">
        <w:rPr>
          <w:caps/>
        </w:rPr>
        <w:t>97/006/</w:t>
      </w:r>
      <w:proofErr w:type="gramStart"/>
      <w:r w:rsidR="00880EE6">
        <w:rPr>
          <w:caps/>
        </w:rPr>
        <w:t>19-C</w:t>
      </w:r>
      <w:proofErr w:type="gramEnd"/>
    </w:p>
    <w:p w14:paraId="7804280E" w14:textId="77777777" w:rsidR="00880EE6" w:rsidRDefault="00880EE6" w:rsidP="00880EE6">
      <w:pPr>
        <w:tabs>
          <w:tab w:val="clear" w:pos="567"/>
          <w:tab w:val="left" w:pos="708"/>
        </w:tabs>
        <w:spacing w:line="240" w:lineRule="auto"/>
        <w:rPr>
          <w:caps/>
        </w:rPr>
      </w:pPr>
    </w:p>
    <w:p w14:paraId="25AEA572" w14:textId="77777777" w:rsidR="00880EE6" w:rsidRDefault="00880EE6" w:rsidP="00880EE6">
      <w:pPr>
        <w:ind w:left="426" w:hanging="426"/>
        <w:jc w:val="both"/>
        <w:rPr>
          <w:color w:val="000000"/>
          <w:szCs w:val="22"/>
          <w:lang w:eastAsia="cs-CZ"/>
        </w:rPr>
      </w:pPr>
      <w:r>
        <w:rPr>
          <w:szCs w:val="22"/>
        </w:rPr>
        <w:t xml:space="preserve">Velikosti balení: </w:t>
      </w:r>
      <w:r>
        <w:rPr>
          <w:color w:val="000000"/>
          <w:szCs w:val="22"/>
          <w:lang w:eastAsia="cs-CZ"/>
        </w:rPr>
        <w:t>10 x 1 dávka</w:t>
      </w:r>
      <w:r>
        <w:rPr>
          <w:szCs w:val="22"/>
          <w:lang w:eastAsia="cs-CZ"/>
        </w:rPr>
        <w:t xml:space="preserve">, </w:t>
      </w:r>
      <w:r>
        <w:rPr>
          <w:color w:val="000000"/>
          <w:szCs w:val="22"/>
          <w:lang w:eastAsia="cs-CZ"/>
        </w:rPr>
        <w:t>1 x 10 dávek, 10 x 10 dávek, 1 x 20 dávek, 10 x 20 dávek</w:t>
      </w:r>
    </w:p>
    <w:p w14:paraId="5012DCB4" w14:textId="77777777" w:rsidR="00880EE6" w:rsidRDefault="00880EE6" w:rsidP="00880EE6">
      <w:pPr>
        <w:tabs>
          <w:tab w:val="clear" w:pos="567"/>
          <w:tab w:val="left" w:pos="708"/>
        </w:tabs>
        <w:spacing w:line="240" w:lineRule="auto"/>
        <w:rPr>
          <w:caps/>
        </w:rPr>
      </w:pPr>
    </w:p>
    <w:p w14:paraId="076793AB" w14:textId="5368340C" w:rsidR="00DB468A" w:rsidRPr="00B41D57" w:rsidRDefault="00EA5E2F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EA5E2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01911678" w:rsidR="00DB468A" w:rsidRPr="00B41D57" w:rsidRDefault="009B384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880EE6">
        <w:rPr>
          <w:szCs w:val="22"/>
        </w:rPr>
        <w:t>/202</w:t>
      </w:r>
      <w:r w:rsidR="00D8347C">
        <w:rPr>
          <w:szCs w:val="22"/>
        </w:rPr>
        <w:t>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EA5E2F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2B9AFA" w14:textId="77777777" w:rsidR="00DB5616" w:rsidRDefault="00DB5616" w:rsidP="00DB5616">
      <w:pPr>
        <w:tabs>
          <w:tab w:val="clear" w:pos="567"/>
        </w:tabs>
        <w:spacing w:line="240" w:lineRule="auto"/>
        <w:rPr>
          <w:szCs w:val="22"/>
        </w:rPr>
      </w:pPr>
      <w:bookmarkStart w:id="1" w:name="_Hlk177991007"/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p w14:paraId="34D346EC" w14:textId="77777777" w:rsidR="00DB5616" w:rsidRDefault="00DB5616" w:rsidP="00DB5616">
      <w:pPr>
        <w:tabs>
          <w:tab w:val="clear" w:pos="567"/>
        </w:tabs>
        <w:spacing w:line="240" w:lineRule="auto"/>
        <w:rPr>
          <w:szCs w:val="22"/>
        </w:rPr>
      </w:pPr>
    </w:p>
    <w:bookmarkEnd w:id="1"/>
    <w:p w14:paraId="54C9272A" w14:textId="77777777" w:rsidR="00DB468A" w:rsidRPr="00B41D57" w:rsidRDefault="00EA5E2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3C909449" w:rsidR="00DB468A" w:rsidRPr="00B41D57" w:rsidRDefault="00EA5E2F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880EE6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25E76B40" w14:textId="77777777" w:rsidR="00DB5616" w:rsidRDefault="00DB5616" w:rsidP="00DB5616">
      <w:pPr>
        <w:tabs>
          <w:tab w:val="clear" w:pos="567"/>
        </w:tabs>
        <w:spacing w:line="240" w:lineRule="auto"/>
        <w:rPr>
          <w:szCs w:val="22"/>
        </w:rPr>
      </w:pPr>
      <w:bookmarkStart w:id="3" w:name="_Hlk177991019"/>
      <w:proofErr w:type="spellStart"/>
      <w:r>
        <w:rPr>
          <w:szCs w:val="22"/>
        </w:rPr>
        <w:t>Bioveta</w:t>
      </w:r>
      <w:proofErr w:type="spellEnd"/>
      <w:r>
        <w:rPr>
          <w:szCs w:val="22"/>
        </w:rPr>
        <w:t>, a.s.</w:t>
      </w:r>
    </w:p>
    <w:p w14:paraId="3A0A406E" w14:textId="77777777" w:rsidR="00DB5616" w:rsidRPr="00360E4B" w:rsidRDefault="00DB5616" w:rsidP="00DB5616">
      <w:pPr>
        <w:tabs>
          <w:tab w:val="clear" w:pos="567"/>
        </w:tabs>
        <w:spacing w:line="240" w:lineRule="auto"/>
        <w:rPr>
          <w:szCs w:val="22"/>
        </w:rPr>
      </w:pPr>
      <w:r w:rsidRPr="00360E4B">
        <w:rPr>
          <w:szCs w:val="22"/>
        </w:rPr>
        <w:t>Komenského 212/12</w:t>
      </w:r>
    </w:p>
    <w:p w14:paraId="36568F0F" w14:textId="77777777" w:rsidR="00DB5616" w:rsidRPr="00360E4B" w:rsidRDefault="00DB5616" w:rsidP="00DB5616">
      <w:pPr>
        <w:tabs>
          <w:tab w:val="clear" w:pos="567"/>
        </w:tabs>
        <w:spacing w:line="240" w:lineRule="auto"/>
        <w:rPr>
          <w:szCs w:val="22"/>
        </w:rPr>
      </w:pPr>
      <w:r w:rsidRPr="00360E4B">
        <w:rPr>
          <w:szCs w:val="22"/>
        </w:rPr>
        <w:t>68323 Ivanovice na Hané</w:t>
      </w:r>
    </w:p>
    <w:p w14:paraId="31BAF6C9" w14:textId="49E86D1C" w:rsidR="00DB5616" w:rsidRPr="00360E4B" w:rsidRDefault="006A5BF6" w:rsidP="00DB561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  <w:bookmarkStart w:id="4" w:name="_GoBack"/>
      <w:bookmarkEnd w:id="4"/>
    </w:p>
    <w:p w14:paraId="6C9A49AB" w14:textId="77777777" w:rsidR="00DB5616" w:rsidRPr="00A1172E" w:rsidRDefault="00DB5616" w:rsidP="00DB5616">
      <w:pPr>
        <w:tabs>
          <w:tab w:val="clear" w:pos="567"/>
          <w:tab w:val="left" w:pos="0"/>
        </w:tabs>
        <w:rPr>
          <w:bCs/>
          <w:szCs w:val="22"/>
        </w:rPr>
      </w:pPr>
      <w:r w:rsidRPr="00360E4B">
        <w:rPr>
          <w:bCs/>
          <w:szCs w:val="22"/>
        </w:rPr>
        <w:t>Tel: 00420 517 318 911</w:t>
      </w:r>
    </w:p>
    <w:p w14:paraId="76091E5A" w14:textId="01F280E3" w:rsidR="00DB5616" w:rsidRDefault="00DB5616" w:rsidP="00DB5616">
      <w:pPr>
        <w:tabs>
          <w:tab w:val="clear" w:pos="567"/>
          <w:tab w:val="left" w:pos="0"/>
        </w:tabs>
        <w:rPr>
          <w:bCs/>
          <w:szCs w:val="22"/>
        </w:rPr>
      </w:pPr>
      <w:r w:rsidRPr="00A1172E">
        <w:rPr>
          <w:bCs/>
          <w:szCs w:val="22"/>
        </w:rPr>
        <w:t xml:space="preserve">email: </w:t>
      </w:r>
      <w:hyperlink r:id="rId12" w:history="1">
        <w:r w:rsidRPr="00F53E0B">
          <w:rPr>
            <w:rStyle w:val="Hypertextovodkaz"/>
            <w:bCs/>
            <w:szCs w:val="22"/>
          </w:rPr>
          <w:t>reklamace@bioveta.cz</w:t>
        </w:r>
      </w:hyperlink>
    </w:p>
    <w:p w14:paraId="0FDF3DE6" w14:textId="77777777" w:rsidR="00DB5616" w:rsidRPr="00B41D57" w:rsidRDefault="00DB5616" w:rsidP="00DB5616">
      <w:pPr>
        <w:tabs>
          <w:tab w:val="clear" w:pos="567"/>
          <w:tab w:val="left" w:pos="0"/>
        </w:tabs>
        <w:rPr>
          <w:bCs/>
          <w:szCs w:val="22"/>
        </w:rPr>
      </w:pPr>
    </w:p>
    <w:bookmarkEnd w:id="3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09F2B7" w16cex:dateUtc="2024-09-25T07:20:00Z"/>
  <w16cex:commentExtensible w16cex:durableId="78331071" w16cex:dateUtc="2024-12-17T06:35:00Z"/>
  <w16cex:commentExtensible w16cex:durableId="4CC78FD9" w16cex:dateUtc="2024-12-17T0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06AD2" w14:textId="77777777" w:rsidR="00D3168F" w:rsidRDefault="00D3168F">
      <w:pPr>
        <w:spacing w:line="240" w:lineRule="auto"/>
      </w:pPr>
      <w:r>
        <w:separator/>
      </w:r>
    </w:p>
  </w:endnote>
  <w:endnote w:type="continuationSeparator" w:id="0">
    <w:p w14:paraId="7EFBCEE6" w14:textId="77777777" w:rsidR="00D3168F" w:rsidRDefault="00D3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A5E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A5E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1F96E" w14:textId="77777777" w:rsidR="00D3168F" w:rsidRDefault="00D3168F">
      <w:pPr>
        <w:spacing w:line="240" w:lineRule="auto"/>
      </w:pPr>
      <w:r>
        <w:separator/>
      </w:r>
    </w:p>
  </w:footnote>
  <w:footnote w:type="continuationSeparator" w:id="0">
    <w:p w14:paraId="141AB41C" w14:textId="77777777" w:rsidR="00D3168F" w:rsidRDefault="00D3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AE21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E36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ED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0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22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0B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0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D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AC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2FC0FA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624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CE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C0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A0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86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E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A5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26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F74732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18829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8EEE7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FEFC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3B00C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606425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BD6A0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462DC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77C11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C64C8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543D6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F4E6A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7E6D6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1041B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8CEFD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DA828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F4A7F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2A2FA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BFA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827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B4D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6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3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E4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7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2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C1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C2E0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2E6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924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8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0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204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9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2B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40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89CA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541E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5690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C23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6C90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F43B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CE2B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C65F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2CE1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9BA48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00E6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9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0C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8F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E1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E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E4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2E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62C89E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D2148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25A1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67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A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C4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8E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80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4C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FE00E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E64D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38B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C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0E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0CD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6D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4B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A2B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394C28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28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0D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4E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6C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41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0A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4A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4A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07E37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28A65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F2F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C9C91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CCAB91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96EA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D6C0A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81291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6C6782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708F6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2E7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66C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AA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87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124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4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4D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EC1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A7812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5FCD2E4" w:tentative="1">
      <w:start w:val="1"/>
      <w:numFmt w:val="lowerLetter"/>
      <w:lvlText w:val="%2."/>
      <w:lvlJc w:val="left"/>
      <w:pPr>
        <w:ind w:left="1440" w:hanging="360"/>
      </w:pPr>
    </w:lvl>
    <w:lvl w:ilvl="2" w:tplc="FBF23DB8" w:tentative="1">
      <w:start w:val="1"/>
      <w:numFmt w:val="lowerRoman"/>
      <w:lvlText w:val="%3."/>
      <w:lvlJc w:val="right"/>
      <w:pPr>
        <w:ind w:left="2160" w:hanging="180"/>
      </w:pPr>
    </w:lvl>
    <w:lvl w:ilvl="3" w:tplc="4420E916" w:tentative="1">
      <w:start w:val="1"/>
      <w:numFmt w:val="decimal"/>
      <w:lvlText w:val="%4."/>
      <w:lvlJc w:val="left"/>
      <w:pPr>
        <w:ind w:left="2880" w:hanging="360"/>
      </w:pPr>
    </w:lvl>
    <w:lvl w:ilvl="4" w:tplc="AA7ABA52" w:tentative="1">
      <w:start w:val="1"/>
      <w:numFmt w:val="lowerLetter"/>
      <w:lvlText w:val="%5."/>
      <w:lvlJc w:val="left"/>
      <w:pPr>
        <w:ind w:left="3600" w:hanging="360"/>
      </w:pPr>
    </w:lvl>
    <w:lvl w:ilvl="5" w:tplc="89621B76" w:tentative="1">
      <w:start w:val="1"/>
      <w:numFmt w:val="lowerRoman"/>
      <w:lvlText w:val="%6."/>
      <w:lvlJc w:val="right"/>
      <w:pPr>
        <w:ind w:left="4320" w:hanging="180"/>
      </w:pPr>
    </w:lvl>
    <w:lvl w:ilvl="6" w:tplc="F564C166" w:tentative="1">
      <w:start w:val="1"/>
      <w:numFmt w:val="decimal"/>
      <w:lvlText w:val="%7."/>
      <w:lvlJc w:val="left"/>
      <w:pPr>
        <w:ind w:left="5040" w:hanging="360"/>
      </w:pPr>
    </w:lvl>
    <w:lvl w:ilvl="7" w:tplc="13C859AA" w:tentative="1">
      <w:start w:val="1"/>
      <w:numFmt w:val="lowerLetter"/>
      <w:lvlText w:val="%8."/>
      <w:lvlJc w:val="left"/>
      <w:pPr>
        <w:ind w:left="5760" w:hanging="360"/>
      </w:pPr>
    </w:lvl>
    <w:lvl w:ilvl="8" w:tplc="4984B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01666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50B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96A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A8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82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65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CF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25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EA4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E6C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CD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0A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C1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C9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229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A7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8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E1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97606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8C3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C1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A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E6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64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29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6C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23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1EC35DE">
      <w:start w:val="1"/>
      <w:numFmt w:val="decimal"/>
      <w:lvlText w:val="%1."/>
      <w:lvlJc w:val="left"/>
      <w:pPr>
        <w:ind w:left="720" w:hanging="360"/>
      </w:pPr>
    </w:lvl>
    <w:lvl w:ilvl="1" w:tplc="CDFA6F26" w:tentative="1">
      <w:start w:val="1"/>
      <w:numFmt w:val="lowerLetter"/>
      <w:lvlText w:val="%2."/>
      <w:lvlJc w:val="left"/>
      <w:pPr>
        <w:ind w:left="1440" w:hanging="360"/>
      </w:pPr>
    </w:lvl>
    <w:lvl w:ilvl="2" w:tplc="7B9C9E3C" w:tentative="1">
      <w:start w:val="1"/>
      <w:numFmt w:val="lowerRoman"/>
      <w:lvlText w:val="%3."/>
      <w:lvlJc w:val="right"/>
      <w:pPr>
        <w:ind w:left="2160" w:hanging="180"/>
      </w:pPr>
    </w:lvl>
    <w:lvl w:ilvl="3" w:tplc="FDFA0298" w:tentative="1">
      <w:start w:val="1"/>
      <w:numFmt w:val="decimal"/>
      <w:lvlText w:val="%4."/>
      <w:lvlJc w:val="left"/>
      <w:pPr>
        <w:ind w:left="2880" w:hanging="360"/>
      </w:pPr>
    </w:lvl>
    <w:lvl w:ilvl="4" w:tplc="CDCE1524" w:tentative="1">
      <w:start w:val="1"/>
      <w:numFmt w:val="lowerLetter"/>
      <w:lvlText w:val="%5."/>
      <w:lvlJc w:val="left"/>
      <w:pPr>
        <w:ind w:left="3600" w:hanging="360"/>
      </w:pPr>
    </w:lvl>
    <w:lvl w:ilvl="5" w:tplc="81BEF6F8" w:tentative="1">
      <w:start w:val="1"/>
      <w:numFmt w:val="lowerRoman"/>
      <w:lvlText w:val="%6."/>
      <w:lvlJc w:val="right"/>
      <w:pPr>
        <w:ind w:left="4320" w:hanging="180"/>
      </w:pPr>
    </w:lvl>
    <w:lvl w:ilvl="6" w:tplc="239CA3A8" w:tentative="1">
      <w:start w:val="1"/>
      <w:numFmt w:val="decimal"/>
      <w:lvlText w:val="%7."/>
      <w:lvlJc w:val="left"/>
      <w:pPr>
        <w:ind w:left="5040" w:hanging="360"/>
      </w:pPr>
    </w:lvl>
    <w:lvl w:ilvl="7" w:tplc="CCDA7872" w:tentative="1">
      <w:start w:val="1"/>
      <w:numFmt w:val="lowerLetter"/>
      <w:lvlText w:val="%8."/>
      <w:lvlJc w:val="left"/>
      <w:pPr>
        <w:ind w:left="5760" w:hanging="360"/>
      </w:pPr>
    </w:lvl>
    <w:lvl w:ilvl="8" w:tplc="47B20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8A28FD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634B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843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66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28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66E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24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04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3A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7D4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12FE"/>
    <w:rsid w:val="001C33A8"/>
    <w:rsid w:val="001C5288"/>
    <w:rsid w:val="001C5B03"/>
    <w:rsid w:val="001C6993"/>
    <w:rsid w:val="001D1402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5C5C"/>
    <w:rsid w:val="002207C0"/>
    <w:rsid w:val="0022380D"/>
    <w:rsid w:val="00224B93"/>
    <w:rsid w:val="00226630"/>
    <w:rsid w:val="0023676E"/>
    <w:rsid w:val="002414B6"/>
    <w:rsid w:val="002422EB"/>
    <w:rsid w:val="00242397"/>
    <w:rsid w:val="00243122"/>
    <w:rsid w:val="002446DC"/>
    <w:rsid w:val="00247A48"/>
    <w:rsid w:val="00250DD1"/>
    <w:rsid w:val="00251183"/>
    <w:rsid w:val="00251689"/>
    <w:rsid w:val="0025257E"/>
    <w:rsid w:val="0025267C"/>
    <w:rsid w:val="00253B6B"/>
    <w:rsid w:val="00256A03"/>
    <w:rsid w:val="0025748D"/>
    <w:rsid w:val="00260E96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2F07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32D"/>
    <w:rsid w:val="002C55FF"/>
    <w:rsid w:val="002C592B"/>
    <w:rsid w:val="002D2484"/>
    <w:rsid w:val="002D300D"/>
    <w:rsid w:val="002D76F5"/>
    <w:rsid w:val="002E0CD4"/>
    <w:rsid w:val="002E3A90"/>
    <w:rsid w:val="002E46CC"/>
    <w:rsid w:val="002E4F48"/>
    <w:rsid w:val="002E62CB"/>
    <w:rsid w:val="002E6DF1"/>
    <w:rsid w:val="002E6ED9"/>
    <w:rsid w:val="002F08F2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16CE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0E4B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853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4E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6B7E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7F8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F35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60B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6D5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BF6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7C59"/>
    <w:rsid w:val="006F148B"/>
    <w:rsid w:val="0070023F"/>
    <w:rsid w:val="00705EAF"/>
    <w:rsid w:val="0070773E"/>
    <w:rsid w:val="007101CC"/>
    <w:rsid w:val="00715C55"/>
    <w:rsid w:val="00724AA2"/>
    <w:rsid w:val="00724E3B"/>
    <w:rsid w:val="00725EEA"/>
    <w:rsid w:val="007276B6"/>
    <w:rsid w:val="00730908"/>
    <w:rsid w:val="00730CE9"/>
    <w:rsid w:val="0073373D"/>
    <w:rsid w:val="00736B1E"/>
    <w:rsid w:val="007439DB"/>
    <w:rsid w:val="00745C84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44ED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445E"/>
    <w:rsid w:val="0080514E"/>
    <w:rsid w:val="008066AD"/>
    <w:rsid w:val="00812CD8"/>
    <w:rsid w:val="008145D9"/>
    <w:rsid w:val="00814AF1"/>
    <w:rsid w:val="00814B4A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32A4"/>
    <w:rsid w:val="00856BDB"/>
    <w:rsid w:val="00857675"/>
    <w:rsid w:val="00861F86"/>
    <w:rsid w:val="00866C84"/>
    <w:rsid w:val="00867C0D"/>
    <w:rsid w:val="00872C48"/>
    <w:rsid w:val="00874D4A"/>
    <w:rsid w:val="00875EC3"/>
    <w:rsid w:val="008763E7"/>
    <w:rsid w:val="008808C5"/>
    <w:rsid w:val="00880EE6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3D93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797B"/>
    <w:rsid w:val="00903D0D"/>
    <w:rsid w:val="009048E1"/>
    <w:rsid w:val="0090598C"/>
    <w:rsid w:val="00905CAB"/>
    <w:rsid w:val="00906232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3849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76D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C0B"/>
    <w:rsid w:val="00A84622"/>
    <w:rsid w:val="00A84BF0"/>
    <w:rsid w:val="00A9226B"/>
    <w:rsid w:val="00A94B0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220"/>
    <w:rsid w:val="00AC4C30"/>
    <w:rsid w:val="00AD0710"/>
    <w:rsid w:val="00AD4DB9"/>
    <w:rsid w:val="00AD63C0"/>
    <w:rsid w:val="00AD76D6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2D27"/>
    <w:rsid w:val="00B32E77"/>
    <w:rsid w:val="00B3499B"/>
    <w:rsid w:val="00B36E65"/>
    <w:rsid w:val="00B41D57"/>
    <w:rsid w:val="00B41F47"/>
    <w:rsid w:val="00B436E1"/>
    <w:rsid w:val="00B44468"/>
    <w:rsid w:val="00B5093D"/>
    <w:rsid w:val="00B51D0A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402"/>
    <w:rsid w:val="00C32989"/>
    <w:rsid w:val="00C32BD1"/>
    <w:rsid w:val="00C341E6"/>
    <w:rsid w:val="00C34260"/>
    <w:rsid w:val="00C36883"/>
    <w:rsid w:val="00C40928"/>
    <w:rsid w:val="00C40CFF"/>
    <w:rsid w:val="00C42697"/>
    <w:rsid w:val="00C4370C"/>
    <w:rsid w:val="00C43F01"/>
    <w:rsid w:val="00C46DD2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DCB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68F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47C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5616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14F47"/>
    <w:rsid w:val="00E218AD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9A8"/>
    <w:rsid w:val="00E82496"/>
    <w:rsid w:val="00E834CD"/>
    <w:rsid w:val="00E846DC"/>
    <w:rsid w:val="00E846E2"/>
    <w:rsid w:val="00E84E9D"/>
    <w:rsid w:val="00E86CEE"/>
    <w:rsid w:val="00E935AF"/>
    <w:rsid w:val="00EA5E2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322F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25D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D5A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27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FF92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2D76F5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Styl00">
    <w:name w:val="Styl 0.0."/>
    <w:basedOn w:val="Normln"/>
    <w:rsid w:val="00F4322F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styleId="Nevyeenzmnka">
    <w:name w:val="Unresolved Mention"/>
    <w:basedOn w:val="Standardnpsmoodstavce"/>
    <w:rsid w:val="00DB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F001-49AE-4E4E-B2EB-30F2EB83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961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25</cp:revision>
  <cp:lastPrinted>2022-10-26T09:04:00Z</cp:lastPrinted>
  <dcterms:created xsi:type="dcterms:W3CDTF">2024-11-12T13:02:00Z</dcterms:created>
  <dcterms:modified xsi:type="dcterms:W3CDTF">2025-01-16T12:50:00Z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