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3D2" w14:textId="020D68D8" w:rsidR="00997093" w:rsidRDefault="00997093">
      <w:pPr>
        <w:tabs>
          <w:tab w:val="clear" w:pos="567"/>
        </w:tabs>
        <w:spacing w:line="240" w:lineRule="auto"/>
      </w:pPr>
    </w:p>
    <w:p w14:paraId="577BD18D" w14:textId="4422F913" w:rsidR="00E14690" w:rsidRDefault="00E14690">
      <w:pPr>
        <w:tabs>
          <w:tab w:val="clear" w:pos="567"/>
        </w:tabs>
        <w:spacing w:line="240" w:lineRule="auto"/>
      </w:pPr>
    </w:p>
    <w:p w14:paraId="0CBA1922" w14:textId="77777777" w:rsidR="00E14690" w:rsidRDefault="00E14690">
      <w:pPr>
        <w:tabs>
          <w:tab w:val="clear" w:pos="567"/>
        </w:tabs>
        <w:spacing w:line="240" w:lineRule="auto"/>
      </w:pPr>
    </w:p>
    <w:p w14:paraId="647B6CA4" w14:textId="77777777" w:rsidR="00997093" w:rsidRDefault="00997093"/>
    <w:p w14:paraId="6E03CB6F" w14:textId="77777777" w:rsidR="00997093" w:rsidRDefault="00997093"/>
    <w:p w14:paraId="22A044D5" w14:textId="77777777" w:rsidR="00997093" w:rsidRDefault="00997093"/>
    <w:p w14:paraId="797D5B3E" w14:textId="77777777" w:rsidR="00997093" w:rsidRDefault="00997093"/>
    <w:p w14:paraId="59225EBF" w14:textId="77777777" w:rsidR="00997093" w:rsidRDefault="00997093"/>
    <w:p w14:paraId="16999DBB" w14:textId="77777777" w:rsidR="00997093" w:rsidRDefault="00997093"/>
    <w:p w14:paraId="1E44C855" w14:textId="77777777" w:rsidR="00997093" w:rsidRDefault="00997093"/>
    <w:p w14:paraId="4FC61D99" w14:textId="77777777" w:rsidR="00997093" w:rsidRDefault="00997093"/>
    <w:p w14:paraId="7E6A63AD" w14:textId="77777777" w:rsidR="00997093" w:rsidRDefault="00997093"/>
    <w:p w14:paraId="527ECFAB" w14:textId="77777777" w:rsidR="00997093" w:rsidRDefault="00997093"/>
    <w:p w14:paraId="65F1BBA5" w14:textId="77777777" w:rsidR="00997093" w:rsidRDefault="00997093"/>
    <w:p w14:paraId="05B891B2" w14:textId="77777777" w:rsidR="00997093" w:rsidRDefault="00997093"/>
    <w:p w14:paraId="14BA0A98" w14:textId="77777777" w:rsidR="00997093" w:rsidRDefault="00997093"/>
    <w:p w14:paraId="40353426" w14:textId="77777777" w:rsidR="00997093" w:rsidRDefault="00997093"/>
    <w:p w14:paraId="541E61DB" w14:textId="77777777" w:rsidR="00997093" w:rsidRDefault="00997093"/>
    <w:p w14:paraId="2C9CF669" w14:textId="77777777" w:rsidR="00997093" w:rsidRDefault="00997093"/>
    <w:p w14:paraId="1CA5EA8C" w14:textId="77777777" w:rsidR="00997093" w:rsidRDefault="00997093"/>
    <w:p w14:paraId="2423AC84" w14:textId="77777777" w:rsidR="00997093" w:rsidRDefault="00997093"/>
    <w:p w14:paraId="079E0B83" w14:textId="77777777" w:rsidR="00997093" w:rsidRDefault="00997093"/>
    <w:p w14:paraId="552C65F9" w14:textId="77777777" w:rsidR="00997093" w:rsidRDefault="00997093">
      <w:pPr>
        <w:tabs>
          <w:tab w:val="clear" w:pos="567"/>
        </w:tabs>
        <w:spacing w:line="240" w:lineRule="auto"/>
      </w:pPr>
    </w:p>
    <w:p w14:paraId="2350E2F1" w14:textId="1B19FF88" w:rsidR="00997093" w:rsidRDefault="002A6D6D">
      <w:pPr>
        <w:tabs>
          <w:tab w:val="clear" w:pos="567"/>
          <w:tab w:val="left" w:pos="4005"/>
        </w:tabs>
        <w:spacing w:line="240" w:lineRule="auto"/>
        <w:jc w:val="center"/>
        <w:rPr>
          <w:szCs w:val="22"/>
        </w:rPr>
      </w:pPr>
      <w:r>
        <w:rPr>
          <w:b/>
          <w:szCs w:val="22"/>
          <w:lang w:bidi="cs-CZ"/>
        </w:rPr>
        <w:t xml:space="preserve">B. </w:t>
      </w:r>
      <w:r w:rsidR="00B33FFE">
        <w:rPr>
          <w:b/>
          <w:szCs w:val="22"/>
          <w:lang w:bidi="cs-CZ"/>
        </w:rPr>
        <w:t>PŘÍBALOVÁ INFORMACE</w:t>
      </w:r>
    </w:p>
    <w:p w14:paraId="711EF716" w14:textId="28DA824E" w:rsidR="00997093" w:rsidRDefault="00B33FFE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  <w:lang w:bidi="cs-CZ"/>
        </w:rPr>
        <w:br w:type="page"/>
      </w:r>
      <w:r>
        <w:rPr>
          <w:b/>
          <w:szCs w:val="22"/>
          <w:lang w:bidi="cs-CZ"/>
        </w:rPr>
        <w:lastRenderedPageBreak/>
        <w:t>PŘÍBALOVÁ INFORMACE</w:t>
      </w:r>
    </w:p>
    <w:p w14:paraId="4BFA0865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5220D8D7" w14:textId="77777777" w:rsidR="00997093" w:rsidRDefault="0099709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EFDCB7" w14:textId="77777777" w:rsidR="00997093" w:rsidRDefault="00B33FFE">
      <w:pPr>
        <w:tabs>
          <w:tab w:val="clear" w:pos="567"/>
        </w:tabs>
        <w:spacing w:line="240" w:lineRule="auto"/>
        <w:ind w:left="567" w:hanging="567"/>
        <w:rPr>
          <w:b/>
          <w:caps/>
          <w:szCs w:val="22"/>
        </w:rPr>
      </w:pPr>
      <w:r>
        <w:rPr>
          <w:b/>
          <w:szCs w:val="22"/>
          <w:highlight w:val="lightGray"/>
          <w:lang w:bidi="cs-CZ"/>
        </w:rPr>
        <w:t>1.</w:t>
      </w:r>
      <w:r>
        <w:rPr>
          <w:b/>
          <w:szCs w:val="22"/>
          <w:lang w:bidi="cs-CZ"/>
        </w:rPr>
        <w:tab/>
      </w:r>
      <w:r>
        <w:rPr>
          <w:b/>
          <w:caps/>
          <w:szCs w:val="22"/>
          <w:lang w:bidi="cs-CZ"/>
        </w:rPr>
        <w:t>Název veterinárního léčivého přípravku</w:t>
      </w:r>
    </w:p>
    <w:p w14:paraId="5CF312A0" w14:textId="77777777" w:rsidR="00997093" w:rsidRDefault="00997093">
      <w:pPr>
        <w:spacing w:line="240" w:lineRule="auto"/>
        <w:rPr>
          <w:rFonts w:eastAsia="Cambria"/>
          <w:lang w:val="gsw-FR" w:eastAsia="ja-JP"/>
        </w:rPr>
      </w:pPr>
    </w:p>
    <w:p w14:paraId="741E5C2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proofErr w:type="spellStart"/>
      <w:r>
        <w:rPr>
          <w:szCs w:val="22"/>
        </w:rPr>
        <w:t>Metaxx</w:t>
      </w:r>
      <w:proofErr w:type="spellEnd"/>
      <w:r>
        <w:rPr>
          <w:szCs w:val="22"/>
        </w:rPr>
        <w:t xml:space="preserve"> 20 mg/ml injekční roztok pro skot, prasata a koně </w:t>
      </w:r>
    </w:p>
    <w:p w14:paraId="04BAC196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BA1444E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4C60947" w14:textId="77777777" w:rsidR="00997093" w:rsidRDefault="00B33FF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2.</w:t>
      </w:r>
      <w:r>
        <w:rPr>
          <w:b/>
          <w:szCs w:val="22"/>
          <w:lang w:bidi="cs-CZ"/>
        </w:rPr>
        <w:tab/>
      </w:r>
      <w:r>
        <w:rPr>
          <w:b/>
          <w:caps/>
          <w:szCs w:val="22"/>
          <w:lang w:bidi="cs-CZ"/>
        </w:rPr>
        <w:t>složení</w:t>
      </w:r>
      <w:r>
        <w:rPr>
          <w:b/>
          <w:szCs w:val="22"/>
          <w:lang w:bidi="cs-CZ"/>
        </w:rPr>
        <w:t xml:space="preserve"> </w:t>
      </w:r>
    </w:p>
    <w:p w14:paraId="7C5EB152" w14:textId="77777777" w:rsidR="00997093" w:rsidRDefault="00997093"/>
    <w:p w14:paraId="57C59066" w14:textId="793AB894" w:rsidR="00997093" w:rsidRDefault="007843B1">
      <w:pPr>
        <w:tabs>
          <w:tab w:val="clear" w:pos="567"/>
          <w:tab w:val="left" w:pos="2203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Každý </w:t>
      </w:r>
      <w:r w:rsidR="00B33FFE">
        <w:rPr>
          <w:szCs w:val="22"/>
        </w:rPr>
        <w:t xml:space="preserve">ml obsahuje: </w:t>
      </w:r>
    </w:p>
    <w:p w14:paraId="51416B66" w14:textId="77777777" w:rsidR="00997093" w:rsidRDefault="00997093">
      <w:pPr>
        <w:tabs>
          <w:tab w:val="clear" w:pos="567"/>
          <w:tab w:val="left" w:pos="2203"/>
        </w:tabs>
        <w:autoSpaceDE w:val="0"/>
        <w:autoSpaceDN w:val="0"/>
        <w:spacing w:line="240" w:lineRule="auto"/>
        <w:rPr>
          <w:szCs w:val="22"/>
        </w:rPr>
      </w:pPr>
    </w:p>
    <w:p w14:paraId="55C219CB" w14:textId="77777777" w:rsidR="00997093" w:rsidRDefault="00B33FFE">
      <w:pPr>
        <w:tabs>
          <w:tab w:val="clear" w:pos="567"/>
          <w:tab w:val="left" w:pos="2203"/>
        </w:tabs>
        <w:autoSpaceDE w:val="0"/>
        <w:autoSpaceDN w:val="0"/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Léčivá látka:</w:t>
      </w:r>
    </w:p>
    <w:p w14:paraId="1264769D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proofErr w:type="spellStart"/>
      <w:r>
        <w:rPr>
          <w:szCs w:val="22"/>
        </w:rPr>
        <w:t>Meloxicamum</w:t>
      </w:r>
      <w:proofErr w:type="spellEnd"/>
      <w:r>
        <w:rPr>
          <w:szCs w:val="22"/>
        </w:rPr>
        <w:tab/>
        <w:t>20 mg</w:t>
      </w:r>
    </w:p>
    <w:p w14:paraId="33270DCC" w14:textId="77777777" w:rsidR="00997093" w:rsidRDefault="00997093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</w:p>
    <w:p w14:paraId="7C491DC0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Pomocné látky:</w:t>
      </w:r>
    </w:p>
    <w:p w14:paraId="1C075C5E" w14:textId="5CC8089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Bezvodý </w:t>
      </w:r>
      <w:proofErr w:type="spellStart"/>
      <w:r>
        <w:rPr>
          <w:szCs w:val="22"/>
        </w:rPr>
        <w:t>ethanol</w:t>
      </w:r>
      <w:proofErr w:type="spellEnd"/>
      <w:r>
        <w:rPr>
          <w:szCs w:val="22"/>
        </w:rPr>
        <w:t xml:space="preserve"> 150 mg </w:t>
      </w:r>
    </w:p>
    <w:p w14:paraId="616F4150" w14:textId="77777777" w:rsidR="00997093" w:rsidRDefault="00997093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</w:p>
    <w:p w14:paraId="042978A0" w14:textId="00FE6865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Čirý, žlutý roztok.</w:t>
      </w:r>
    </w:p>
    <w:p w14:paraId="46054E71" w14:textId="4F6CD4CE" w:rsidR="00997093" w:rsidRDefault="00997093">
      <w:pPr>
        <w:rPr>
          <w:lang w:bidi="cs-CZ"/>
        </w:rPr>
      </w:pPr>
    </w:p>
    <w:p w14:paraId="1D2CB8DB" w14:textId="77777777" w:rsidR="002A6D6D" w:rsidRDefault="002A6D6D">
      <w:pPr>
        <w:rPr>
          <w:lang w:bidi="cs-CZ"/>
        </w:rPr>
      </w:pPr>
    </w:p>
    <w:p w14:paraId="549F275B" w14:textId="77777777" w:rsidR="00997093" w:rsidRDefault="00B33FFE">
      <w:pPr>
        <w:rPr>
          <w:b/>
          <w:caps/>
        </w:rPr>
      </w:pPr>
      <w:r w:rsidRPr="00E14690">
        <w:rPr>
          <w:b/>
          <w:caps/>
          <w:highlight w:val="lightGray"/>
        </w:rPr>
        <w:t>3.</w:t>
      </w:r>
      <w:r>
        <w:rPr>
          <w:b/>
          <w:caps/>
        </w:rPr>
        <w:t xml:space="preserve"> </w:t>
      </w:r>
      <w:r>
        <w:rPr>
          <w:b/>
          <w:caps/>
        </w:rPr>
        <w:tab/>
        <w:t>cílové druhy zvířat</w:t>
      </w:r>
    </w:p>
    <w:p w14:paraId="78B5B3E2" w14:textId="77777777" w:rsidR="00997093" w:rsidRDefault="00997093">
      <w:pPr>
        <w:pStyle w:val="Geenafstand1"/>
        <w:rPr>
          <w:rFonts w:ascii="Times New Roman" w:eastAsia="Times New Roman" w:hAnsi="Times New Roman"/>
          <w:sz w:val="22"/>
          <w:szCs w:val="22"/>
          <w:lang w:val="cs-CZ" w:bidi="cs-CZ"/>
        </w:rPr>
      </w:pPr>
    </w:p>
    <w:p w14:paraId="6DC2DF88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Skot, prasata a koně.</w:t>
      </w:r>
    </w:p>
    <w:p w14:paraId="68065D1D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572F135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9F8AFC6" wp14:editId="247C0478">
            <wp:simplePos x="0" y="0"/>
            <wp:positionH relativeFrom="column">
              <wp:posOffset>1890395</wp:posOffset>
            </wp:positionH>
            <wp:positionV relativeFrom="paragraph">
              <wp:posOffset>73025</wp:posOffset>
            </wp:positionV>
            <wp:extent cx="561340" cy="43878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4C42947" wp14:editId="34707481">
            <wp:simplePos x="0" y="0"/>
            <wp:positionH relativeFrom="column">
              <wp:posOffset>237490</wp:posOffset>
            </wp:positionH>
            <wp:positionV relativeFrom="paragraph">
              <wp:posOffset>73025</wp:posOffset>
            </wp:positionV>
            <wp:extent cx="808990" cy="5251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63A2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93243A4" wp14:editId="7859CF0E">
            <wp:simplePos x="0" y="0"/>
            <wp:positionH relativeFrom="column">
              <wp:posOffset>927937</wp:posOffset>
            </wp:positionH>
            <wp:positionV relativeFrom="paragraph">
              <wp:posOffset>88133</wp:posOffset>
            </wp:positionV>
            <wp:extent cx="787400" cy="34988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22843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DFF655D" w14:textId="77777777" w:rsidR="00997093" w:rsidRDefault="00997093">
      <w:pPr>
        <w:rPr>
          <w:lang w:eastAsia="ja-JP"/>
        </w:rPr>
      </w:pPr>
    </w:p>
    <w:p w14:paraId="19E05E27" w14:textId="57BC711D" w:rsidR="00997093" w:rsidRDefault="00997093">
      <w:pPr>
        <w:rPr>
          <w:lang w:eastAsia="ja-JP"/>
        </w:rPr>
      </w:pPr>
    </w:p>
    <w:p w14:paraId="734C5147" w14:textId="77777777" w:rsidR="002A6D6D" w:rsidRDefault="002A6D6D">
      <w:pPr>
        <w:rPr>
          <w:lang w:eastAsia="ja-JP"/>
        </w:rPr>
      </w:pPr>
    </w:p>
    <w:p w14:paraId="4F88CEF1" w14:textId="77777777" w:rsidR="00997093" w:rsidRDefault="00B33FF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4.</w:t>
      </w:r>
      <w:r>
        <w:rPr>
          <w:b/>
          <w:szCs w:val="22"/>
          <w:lang w:bidi="cs-CZ"/>
        </w:rPr>
        <w:tab/>
        <w:t xml:space="preserve">INDIKACE </w:t>
      </w:r>
      <w:r>
        <w:rPr>
          <w:b/>
          <w:caps/>
          <w:szCs w:val="22"/>
          <w:lang w:bidi="cs-CZ"/>
        </w:rPr>
        <w:t>pro použití</w:t>
      </w:r>
    </w:p>
    <w:p w14:paraId="4E77C60C" w14:textId="77777777" w:rsidR="00997093" w:rsidRDefault="00997093"/>
    <w:p w14:paraId="63F593AC" w14:textId="77777777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</w:p>
    <w:p w14:paraId="5F2F1B1A" w14:textId="5A62EEEA" w:rsidR="00997093" w:rsidRDefault="002359A0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Zmírnění klinických příznaků při l</w:t>
      </w:r>
      <w:r w:rsidR="00177ADF">
        <w:rPr>
          <w:szCs w:val="22"/>
        </w:rPr>
        <w:t>éčb</w:t>
      </w:r>
      <w:r>
        <w:rPr>
          <w:szCs w:val="22"/>
        </w:rPr>
        <w:t>ě</w:t>
      </w:r>
      <w:r w:rsidR="00177ADF">
        <w:rPr>
          <w:szCs w:val="22"/>
        </w:rPr>
        <w:t xml:space="preserve"> </w:t>
      </w:r>
      <w:r w:rsidR="00B33FFE">
        <w:rPr>
          <w:szCs w:val="22"/>
        </w:rPr>
        <w:t>akutních respiratorních infekcí u skotu v kombinaci s příslušnou terapií antibiotiky.</w:t>
      </w:r>
    </w:p>
    <w:p w14:paraId="2D2FAAAF" w14:textId="2260E1C8" w:rsidR="00997093" w:rsidRDefault="002359A0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Zmírnění klinických příznaků při léčbě diarey</w:t>
      </w:r>
      <w:r w:rsidR="00B33FFE">
        <w:rPr>
          <w:szCs w:val="22"/>
        </w:rPr>
        <w:t xml:space="preserve"> u telat starších jednoho týdne a u mladého, </w:t>
      </w:r>
      <w:proofErr w:type="spellStart"/>
      <w:r w:rsidR="00B33FFE">
        <w:rPr>
          <w:szCs w:val="22"/>
        </w:rPr>
        <w:t>nelaktujícího</w:t>
      </w:r>
      <w:proofErr w:type="spellEnd"/>
      <w:r w:rsidR="00B33FFE">
        <w:rPr>
          <w:szCs w:val="22"/>
        </w:rPr>
        <w:t xml:space="preserve"> skotu, v kombinaci s perorální rehydratační terapií.</w:t>
      </w:r>
    </w:p>
    <w:p w14:paraId="18B3C72E" w14:textId="79C27378" w:rsidR="00997093" w:rsidRDefault="00177ADF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Podpůrná léčba </w:t>
      </w:r>
      <w:r w:rsidR="00B33FFE">
        <w:rPr>
          <w:szCs w:val="22"/>
        </w:rPr>
        <w:t xml:space="preserve">akutní mastitidy v kombinaci s terapií antibiotiky. </w:t>
      </w:r>
    </w:p>
    <w:p w14:paraId="43ECEDC0" w14:textId="33D4BD2D" w:rsidR="00997093" w:rsidRDefault="00177ADF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Úleva </w:t>
      </w:r>
      <w:r w:rsidR="00B33FFE">
        <w:rPr>
          <w:szCs w:val="22"/>
        </w:rPr>
        <w:t xml:space="preserve">pooperačních bolestí následujících po </w:t>
      </w:r>
      <w:proofErr w:type="spellStart"/>
      <w:r w:rsidR="00B33FFE">
        <w:rPr>
          <w:szCs w:val="22"/>
        </w:rPr>
        <w:t>odrohování</w:t>
      </w:r>
      <w:proofErr w:type="spellEnd"/>
      <w:r w:rsidR="00B33FFE">
        <w:rPr>
          <w:szCs w:val="22"/>
        </w:rPr>
        <w:t xml:space="preserve"> telat.</w:t>
      </w:r>
    </w:p>
    <w:p w14:paraId="7369C7DF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C25B025" w14:textId="77777777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</w:p>
    <w:p w14:paraId="09996A72" w14:textId="77777777" w:rsidR="002359A0" w:rsidRDefault="002359A0">
      <w:pPr>
        <w:tabs>
          <w:tab w:val="clear" w:pos="567"/>
        </w:tabs>
        <w:autoSpaceDE w:val="0"/>
        <w:autoSpaceDN w:val="0"/>
        <w:spacing w:line="240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Snížení příznaků kulhání a zánětu při léčbě neinfekčních poruch pohybového aparátu. </w:t>
      </w:r>
    </w:p>
    <w:p w14:paraId="0CE35848" w14:textId="79C85291" w:rsidR="00997093" w:rsidRDefault="00177ADF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Podpůrná léčba</w:t>
      </w:r>
      <w:r w:rsidR="00B33FFE">
        <w:rPr>
          <w:szCs w:val="22"/>
        </w:rPr>
        <w:t xml:space="preserve"> puerperální septikémie a toxémie (syndrom mastitis-metritis-agalakcie), s příslušnou terapií antibiotiky.</w:t>
      </w:r>
    </w:p>
    <w:p w14:paraId="08BE77A9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E013609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</w:p>
    <w:p w14:paraId="5F82AE1E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Použití k tlumení zánětu a zmírnění bolesti při akutních a chronických onemocněních </w:t>
      </w:r>
      <w:proofErr w:type="spellStart"/>
      <w:r>
        <w:rPr>
          <w:szCs w:val="22"/>
        </w:rPr>
        <w:t>muskuloskeletálního</w:t>
      </w:r>
      <w:proofErr w:type="spellEnd"/>
      <w:r>
        <w:rPr>
          <w:szCs w:val="22"/>
        </w:rPr>
        <w:t xml:space="preserve"> aparátu.</w:t>
      </w:r>
    </w:p>
    <w:p w14:paraId="335E8D3D" w14:textId="151481E2" w:rsidR="00997093" w:rsidRDefault="00177ADF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Zmírnění </w:t>
      </w:r>
      <w:r w:rsidR="00B33FFE">
        <w:rPr>
          <w:szCs w:val="22"/>
        </w:rPr>
        <w:t>bolesti způsobené kolikou u koní.</w:t>
      </w:r>
    </w:p>
    <w:p w14:paraId="4D5D3CEB" w14:textId="77777777" w:rsidR="00997093" w:rsidRDefault="00997093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0CF6E275" w14:textId="77777777" w:rsidR="00997093" w:rsidRDefault="00997093">
      <w:pPr>
        <w:rPr>
          <w:u w:val="single"/>
        </w:rPr>
      </w:pPr>
    </w:p>
    <w:p w14:paraId="765A693C" w14:textId="77777777" w:rsidR="00997093" w:rsidRDefault="00B33FF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5.</w:t>
      </w:r>
      <w:r>
        <w:rPr>
          <w:b/>
          <w:szCs w:val="22"/>
          <w:lang w:bidi="cs-CZ"/>
        </w:rPr>
        <w:tab/>
        <w:t>KONTRAINDIKACE</w:t>
      </w:r>
    </w:p>
    <w:p w14:paraId="05840E9F" w14:textId="77777777" w:rsidR="00997093" w:rsidRDefault="00997093"/>
    <w:p w14:paraId="2A9D657C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u koní mladších 6 týdnů.</w:t>
      </w:r>
    </w:p>
    <w:p w14:paraId="734B1D56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3B15D89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lastRenderedPageBreak/>
        <w:t>Nepoužívat u zvířat s narušenou funkcí jater, srdce nebo ledvin a s onemocněním s krvácením nebo s prokázanými ulcerogenními gastrointestinálními změnami.</w:t>
      </w:r>
    </w:p>
    <w:p w14:paraId="665E1CD2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v případech přecitlivělosti na léčivou látku nebo na některou z pomocných látek.</w:t>
      </w:r>
    </w:p>
    <w:p w14:paraId="43848C2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K léčbě průjmového onemocnění u skotu nepoužívat u zvířat mladších než jeden týden.</w:t>
      </w:r>
    </w:p>
    <w:p w14:paraId="4F01117A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7084B56" w14:textId="77777777" w:rsidR="00997093" w:rsidRDefault="00997093"/>
    <w:p w14:paraId="143F102A" w14:textId="77777777" w:rsidR="00997093" w:rsidRDefault="00B33FF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6.</w:t>
      </w:r>
      <w:r>
        <w:rPr>
          <w:b/>
          <w:szCs w:val="22"/>
          <w:lang w:bidi="cs-CZ"/>
        </w:rPr>
        <w:tab/>
        <w:t>ZVLÁŠTNÍ UPOZORNĚNÍ</w:t>
      </w:r>
    </w:p>
    <w:p w14:paraId="525BE0B7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29C8B4EF" w14:textId="77777777" w:rsidR="00997093" w:rsidRDefault="00B33F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Zvláštní upozornění:</w:t>
      </w:r>
    </w:p>
    <w:p w14:paraId="13D1F03F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Podání veterinárního léčivého přípravku telatům 20 minut před </w:t>
      </w:r>
      <w:proofErr w:type="spellStart"/>
      <w:r>
        <w:rPr>
          <w:szCs w:val="22"/>
        </w:rPr>
        <w:t>odrohováním</w:t>
      </w:r>
      <w:proofErr w:type="spellEnd"/>
      <w:r>
        <w:rPr>
          <w:szCs w:val="22"/>
        </w:rPr>
        <w:t xml:space="preserve"> mírní pooperační bolesti. Samotný veterinární léčivý přípravek neposkytne v průběhu procesu </w:t>
      </w:r>
      <w:proofErr w:type="spellStart"/>
      <w:r>
        <w:rPr>
          <w:szCs w:val="22"/>
        </w:rPr>
        <w:t>odrohování</w:t>
      </w:r>
      <w:proofErr w:type="spellEnd"/>
      <w:r>
        <w:rPr>
          <w:szCs w:val="22"/>
        </w:rPr>
        <w:t xml:space="preserve"> dostatečnou úlevu od bolesti. Pro dosažení adekvátní úlevy od bolesti během operace je zapotřebí souběžné medikace vhodnými analgetiky.</w:t>
      </w:r>
    </w:p>
    <w:p w14:paraId="77FA55EF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59BFA2BD" w14:textId="56EC52C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 xml:space="preserve">Zvláštní opatření pro </w:t>
      </w:r>
      <w:r>
        <w:rPr>
          <w:u w:val="single"/>
        </w:rPr>
        <w:t>bezpečné použití u cílových druhů zvířat</w:t>
      </w:r>
      <w:r>
        <w:rPr>
          <w:szCs w:val="22"/>
          <w:u w:val="single"/>
        </w:rPr>
        <w:t>:</w:t>
      </w:r>
    </w:p>
    <w:p w14:paraId="27D322A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rFonts w:eastAsia="TimesNewRomanPSMT"/>
          <w:szCs w:val="22"/>
        </w:rPr>
        <w:t>Pokud se vyskytnou nežádoucí účinky</w:t>
      </w:r>
      <w:r>
        <w:rPr>
          <w:szCs w:val="22"/>
        </w:rPr>
        <w:t>, je nutno léčbu přerušit a vyhledat pomoc veterinárního lékaře.</w:t>
      </w:r>
    </w:p>
    <w:p w14:paraId="69E5FD8B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73CAE4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Nepoužívat k léčbě silně dehydratovaných, </w:t>
      </w:r>
      <w:proofErr w:type="spellStart"/>
      <w:r>
        <w:rPr>
          <w:szCs w:val="22"/>
        </w:rPr>
        <w:t>hypovolemických</w:t>
      </w:r>
      <w:proofErr w:type="spellEnd"/>
      <w:r>
        <w:rPr>
          <w:szCs w:val="22"/>
        </w:rPr>
        <w:t xml:space="preserve"> nebo hypotenzních zvířat, která vyžadují parenterální rehydrataci, protože je zde potenciální riziko renální toxicity.</w:t>
      </w:r>
    </w:p>
    <w:p w14:paraId="2DF62857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 případě nedostatečného zmírnění bolesti při léčbě koliky u koní by měla být pečlivě přehodnocena diagnóza a zvážen chirurgický zákrok.</w:t>
      </w:r>
    </w:p>
    <w:p w14:paraId="57766FF0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5B13E53" w14:textId="48D80EF2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 xml:space="preserve">Zvláštní opatření </w:t>
      </w:r>
      <w:r w:rsidR="00A40F41">
        <w:rPr>
          <w:szCs w:val="22"/>
          <w:u w:val="single"/>
        </w:rPr>
        <w:t>pro</w:t>
      </w:r>
      <w:r>
        <w:rPr>
          <w:szCs w:val="22"/>
          <w:u w:val="single"/>
        </w:rPr>
        <w:t xml:space="preserve"> osob</w:t>
      </w:r>
      <w:r w:rsidR="00A40F41">
        <w:rPr>
          <w:szCs w:val="22"/>
          <w:u w:val="single"/>
        </w:rPr>
        <w:t>u</w:t>
      </w:r>
      <w:r>
        <w:rPr>
          <w:szCs w:val="22"/>
          <w:u w:val="single"/>
        </w:rPr>
        <w:t>, kter</w:t>
      </w:r>
      <w:r w:rsidR="00A40F41">
        <w:rPr>
          <w:szCs w:val="22"/>
          <w:u w:val="single"/>
        </w:rPr>
        <w:t>á</w:t>
      </w:r>
      <w:r>
        <w:rPr>
          <w:szCs w:val="22"/>
          <w:u w:val="single"/>
        </w:rPr>
        <w:t xml:space="preserve"> podáv</w:t>
      </w:r>
      <w:r w:rsidR="00A40F41">
        <w:rPr>
          <w:szCs w:val="22"/>
          <w:u w:val="single"/>
        </w:rPr>
        <w:t>á</w:t>
      </w:r>
      <w:r>
        <w:rPr>
          <w:szCs w:val="22"/>
          <w:u w:val="single"/>
        </w:rPr>
        <w:t xml:space="preserve"> veterinární léčivý přípravek zvířatům:</w:t>
      </w:r>
    </w:p>
    <w:p w14:paraId="2BB0E4D3" w14:textId="1D78C153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Náhodné sebepoškození injekčně </w:t>
      </w:r>
      <w:r w:rsidR="00A40F41">
        <w:rPr>
          <w:szCs w:val="22"/>
        </w:rPr>
        <w:t xml:space="preserve">podaným </w:t>
      </w:r>
      <w:r>
        <w:rPr>
          <w:szCs w:val="22"/>
        </w:rPr>
        <w:t>přípravkem může způsobit bolesti. Meloxikam a jiná nesteroidní antiflogistika (NSAID) mohou vyvolat reakce z přecitlivělosti (alergické reakce).</w:t>
      </w:r>
    </w:p>
    <w:p w14:paraId="12323EC8" w14:textId="780A2F0E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>Lidé se známou přecitlivělostí na nesteroidní protizánětlivé přípravky (NSAID) by se měli vyhnout kontaktu s veterinárním léčivým přípravkem.</w:t>
      </w:r>
      <w:r w:rsidR="00A40F41">
        <w:rPr>
          <w:szCs w:val="22"/>
        </w:rPr>
        <w:t xml:space="preserve"> </w:t>
      </w:r>
      <w:r>
        <w:rPr>
          <w:szCs w:val="22"/>
        </w:rPr>
        <w:t xml:space="preserve">V případě náhodného sebepoškození injekčně </w:t>
      </w:r>
      <w:r w:rsidR="00A40F41">
        <w:rPr>
          <w:szCs w:val="22"/>
        </w:rPr>
        <w:t xml:space="preserve">podaným </w:t>
      </w:r>
      <w:r>
        <w:rPr>
          <w:szCs w:val="22"/>
        </w:rPr>
        <w:t>přípravkem vyhledejte ihned lékařskou pomoc a ukažte příbalovou informaci nebo etiketu praktickému lékaři.</w:t>
      </w:r>
    </w:p>
    <w:p w14:paraId="2C9F3DD3" w14:textId="2E0F4456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Tento </w:t>
      </w:r>
      <w:r w:rsidR="00A40F41">
        <w:rPr>
          <w:szCs w:val="22"/>
        </w:rPr>
        <w:t xml:space="preserve">veterinární léčivý </w:t>
      </w:r>
      <w:r>
        <w:rPr>
          <w:szCs w:val="22"/>
        </w:rPr>
        <w:t>přípravek může způsobit podráždění očí. Při zasažení očí je ihned důkladně vypláchněte vodou.</w:t>
      </w:r>
    </w:p>
    <w:p w14:paraId="74137FD9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</w:p>
    <w:p w14:paraId="2B1C8A8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Vzhledem k riziku náhodného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a známým nežádoucím účinkům NSAID a jiných inhibitorů prostaglandinu na těhotenství a/nebo </w:t>
      </w:r>
      <w:proofErr w:type="spellStart"/>
      <w:r>
        <w:rPr>
          <w:szCs w:val="22"/>
        </w:rPr>
        <w:t>embryofetální</w:t>
      </w:r>
      <w:proofErr w:type="spellEnd"/>
      <w:r>
        <w:rPr>
          <w:szCs w:val="22"/>
        </w:rPr>
        <w:t xml:space="preserve"> vývoj by tento přípravek neměly podávat těhotné ženy ani ženy pokoušející se počít.</w:t>
      </w:r>
    </w:p>
    <w:p w14:paraId="00FAA5FA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ABE07E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Březost a laktace:</w:t>
      </w:r>
    </w:p>
    <w:p w14:paraId="574185C7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 a prasata:</w:t>
      </w:r>
      <w:r>
        <w:rPr>
          <w:szCs w:val="22"/>
        </w:rPr>
        <w:tab/>
        <w:t>Lze použít během březosti a laktace.</w:t>
      </w:r>
    </w:p>
    <w:p w14:paraId="07B6015F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  <w:r>
        <w:rPr>
          <w:szCs w:val="22"/>
        </w:rPr>
        <w:tab/>
        <w:t>Nepoužívat u klisen během březosti a laktace.</w:t>
      </w:r>
    </w:p>
    <w:p w14:paraId="6C5F3BAD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C815575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Interakce s dalšími léčivými přípravky a další formy interakce:</w:t>
      </w:r>
    </w:p>
    <w:p w14:paraId="28B83BD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Nepodávat současně s </w:t>
      </w:r>
      <w:proofErr w:type="spellStart"/>
      <w:r>
        <w:rPr>
          <w:szCs w:val="22"/>
        </w:rPr>
        <w:t>glukokortikosteroidy</w:t>
      </w:r>
      <w:proofErr w:type="spellEnd"/>
      <w:r>
        <w:rPr>
          <w:szCs w:val="22"/>
        </w:rPr>
        <w:t>, s jinými nesteroidními protizánětlivými přípravky nebo s antikoagulačními látkami.</w:t>
      </w:r>
    </w:p>
    <w:p w14:paraId="3EDCE593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B6007E7" w14:textId="39BC15A9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Předávkování:</w:t>
      </w:r>
    </w:p>
    <w:p w14:paraId="6E1BF80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 případě předávkování je nutné zahájit symptomatickou léčbu.</w:t>
      </w:r>
    </w:p>
    <w:p w14:paraId="420790A4" w14:textId="77777777" w:rsidR="00997093" w:rsidRDefault="00997093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3744CAE8" w14:textId="77777777" w:rsidR="00997093" w:rsidRDefault="00B33F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Hlavní inkompatibility:</w:t>
      </w:r>
    </w:p>
    <w:p w14:paraId="6528EC43" w14:textId="77777777" w:rsidR="00997093" w:rsidRDefault="00B33F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6DFCB934" w14:textId="51D718A3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3D90B31" w14:textId="77777777" w:rsidR="002A6D6D" w:rsidRDefault="002A6D6D">
      <w:pPr>
        <w:tabs>
          <w:tab w:val="clear" w:pos="567"/>
        </w:tabs>
        <w:spacing w:line="240" w:lineRule="auto"/>
        <w:rPr>
          <w:szCs w:val="22"/>
        </w:rPr>
      </w:pPr>
    </w:p>
    <w:p w14:paraId="1359EB31" w14:textId="77777777" w:rsidR="00997093" w:rsidRDefault="00B33FFE" w:rsidP="002A6D6D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14690">
        <w:rPr>
          <w:b/>
          <w:bCs/>
          <w:szCs w:val="22"/>
          <w:highlight w:val="lightGray"/>
        </w:rPr>
        <w:lastRenderedPageBreak/>
        <w:t>7.</w:t>
      </w:r>
      <w:r>
        <w:rPr>
          <w:b/>
          <w:bCs/>
          <w:szCs w:val="22"/>
        </w:rPr>
        <w:tab/>
        <w:t>NEŽÁDOUCÍ ÚČINKY</w:t>
      </w:r>
    </w:p>
    <w:p w14:paraId="7BA06E78" w14:textId="77777777" w:rsidR="00997093" w:rsidRPr="00E14690" w:rsidRDefault="00997093" w:rsidP="002A6D6D">
      <w:pPr>
        <w:keepNext/>
        <w:tabs>
          <w:tab w:val="clear" w:pos="567"/>
        </w:tabs>
        <w:spacing w:line="240" w:lineRule="auto"/>
        <w:rPr>
          <w:iCs/>
          <w:szCs w:val="22"/>
          <w:u w:val="words"/>
        </w:rPr>
      </w:pPr>
    </w:p>
    <w:p w14:paraId="54BAF039" w14:textId="77777777" w:rsidR="00997093" w:rsidRDefault="00B33FFE">
      <w:pPr>
        <w:keepNext/>
        <w:rPr>
          <w:bCs/>
          <w:szCs w:val="22"/>
        </w:rPr>
      </w:pPr>
      <w:r>
        <w:rPr>
          <w:bCs/>
          <w:szCs w:val="22"/>
        </w:rPr>
        <w:t>Skot</w:t>
      </w:r>
    </w:p>
    <w:p w14:paraId="229E93A6" w14:textId="77777777" w:rsidR="00997093" w:rsidRDefault="00997093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5985D091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215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Časté</w:t>
            </w:r>
          </w:p>
          <w:p w14:paraId="7D29941B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FE7" w14:textId="7D6DE9DD" w:rsidR="00997093" w:rsidRDefault="00B33FFE">
            <w:r>
              <w:t xml:space="preserve">Otok </w:t>
            </w:r>
            <w:r w:rsidR="00060367">
              <w:t>v</w:t>
            </w:r>
            <w:r>
              <w:t xml:space="preserve"> místě </w:t>
            </w:r>
            <w:r w:rsidR="00177ADF">
              <w:t>injekčního podání</w:t>
            </w:r>
            <w:r>
              <w:rPr>
                <w:vertAlign w:val="superscript"/>
              </w:rPr>
              <w:t>1</w:t>
            </w:r>
          </w:p>
        </w:tc>
      </w:tr>
      <w:tr w:rsidR="00997093" w14:paraId="75706AC4" w14:textId="77777777">
        <w:tc>
          <w:tcPr>
            <w:tcW w:w="1957" w:type="pct"/>
          </w:tcPr>
          <w:p w14:paraId="7D9F27BC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5DC44810" w14:textId="77777777" w:rsidR="00997093" w:rsidRDefault="00B33FFE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 / 10 000 ošetřených zvířat, včetně ojedinělých hlášení):</w:t>
            </w:r>
          </w:p>
        </w:tc>
        <w:tc>
          <w:tcPr>
            <w:tcW w:w="3043" w:type="pct"/>
          </w:tcPr>
          <w:p w14:paraId="4E0D75E3" w14:textId="77777777" w:rsidR="00997093" w:rsidRDefault="00B33FFE">
            <w:pPr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Anafylaktoidní</w:t>
            </w:r>
            <w:proofErr w:type="spellEnd"/>
            <w:r>
              <w:rPr>
                <w:iCs/>
                <w:szCs w:val="22"/>
              </w:rPr>
              <w:t xml:space="preserve"> reakce </w:t>
            </w:r>
            <w:r>
              <w:rPr>
                <w:iCs/>
                <w:szCs w:val="22"/>
                <w:vertAlign w:val="superscript"/>
              </w:rPr>
              <w:t>2 </w:t>
            </w:r>
            <w:r>
              <w:rPr>
                <w:iCs/>
                <w:szCs w:val="22"/>
              </w:rPr>
              <w:t xml:space="preserve"> </w:t>
            </w:r>
          </w:p>
        </w:tc>
      </w:tr>
    </w:tbl>
    <w:p w14:paraId="74BCD138" w14:textId="7CB1B5B3" w:rsidR="00997093" w:rsidRDefault="00B33FFE">
      <w:pPr>
        <w:keepNext/>
        <w:rPr>
          <w:szCs w:val="22"/>
        </w:rPr>
      </w:pPr>
      <w:proofErr w:type="gramStart"/>
      <w:r>
        <w:rPr>
          <w:szCs w:val="22"/>
          <w:vertAlign w:val="superscript"/>
        </w:rPr>
        <w:t>1 </w:t>
      </w:r>
      <w:r>
        <w:rPr>
          <w:szCs w:val="22"/>
        </w:rPr>
        <w:t xml:space="preserve"> Pouze</w:t>
      </w:r>
      <w:proofErr w:type="gramEnd"/>
      <w:r>
        <w:rPr>
          <w:szCs w:val="22"/>
        </w:rPr>
        <w:t xml:space="preserve"> mírný přechodný otok v místě </w:t>
      </w:r>
      <w:r w:rsidR="00177ADF">
        <w:t xml:space="preserve">injekčního podání </w:t>
      </w:r>
      <w:r>
        <w:rPr>
          <w:szCs w:val="22"/>
        </w:rPr>
        <w:t>po subkutánním podání.</w:t>
      </w:r>
    </w:p>
    <w:p w14:paraId="0AB34077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Může být závažné (včetně fatálního průběhu) a má by být léčeno symptomaticky.</w:t>
      </w:r>
    </w:p>
    <w:p w14:paraId="19BCD718" w14:textId="77777777" w:rsidR="00997093" w:rsidRDefault="00997093">
      <w:pPr>
        <w:keepNext/>
        <w:rPr>
          <w:szCs w:val="22"/>
        </w:rPr>
      </w:pPr>
    </w:p>
    <w:p w14:paraId="68162EFE" w14:textId="2BF339D7" w:rsidR="00997093" w:rsidRDefault="00B33FFE">
      <w:pPr>
        <w:keepNext/>
        <w:rPr>
          <w:szCs w:val="22"/>
        </w:rPr>
      </w:pPr>
      <w:r>
        <w:rPr>
          <w:szCs w:val="22"/>
        </w:rPr>
        <w:t>Koně</w:t>
      </w:r>
    </w:p>
    <w:p w14:paraId="2CFEB078" w14:textId="77777777" w:rsidR="002A6D6D" w:rsidRDefault="002A6D6D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1C7FA295" w14:textId="77777777">
        <w:tc>
          <w:tcPr>
            <w:tcW w:w="1957" w:type="pct"/>
          </w:tcPr>
          <w:p w14:paraId="3615B624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79F9642F" w14:textId="48947BF4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</w:tcPr>
          <w:p w14:paraId="6F85487F" w14:textId="77777777" w:rsidR="00997093" w:rsidRDefault="00B33FFE">
            <w:pPr>
              <w:rPr>
                <w:vertAlign w:val="superscript"/>
              </w:rPr>
            </w:pPr>
            <w:proofErr w:type="spellStart"/>
            <w:r>
              <w:t>Anafylaktoidní</w:t>
            </w:r>
            <w:proofErr w:type="spellEnd"/>
            <w:r>
              <w:t xml:space="preserve"> reakce</w:t>
            </w:r>
            <w:r>
              <w:rPr>
                <w:vertAlign w:val="superscript"/>
              </w:rPr>
              <w:t>1</w:t>
            </w:r>
          </w:p>
          <w:p w14:paraId="673B1FDA" w14:textId="77777777" w:rsidR="00997093" w:rsidRDefault="00997093"/>
          <w:p w14:paraId="6241E7CD" w14:textId="31D6597F" w:rsidR="00997093" w:rsidRDefault="00B33FFE">
            <w:pPr>
              <w:rPr>
                <w:iCs/>
              </w:rPr>
            </w:pPr>
            <w:r>
              <w:rPr>
                <w:iCs/>
              </w:rPr>
              <w:t xml:space="preserve">Otok </w:t>
            </w:r>
            <w:r w:rsidR="00060367">
              <w:rPr>
                <w:iCs/>
              </w:rPr>
              <w:t>v</w:t>
            </w:r>
            <w:r>
              <w:rPr>
                <w:iCs/>
              </w:rPr>
              <w:t xml:space="preserve"> místě </w:t>
            </w:r>
            <w:r w:rsidR="00177ADF">
              <w:t>injekčního podání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>.</w:t>
            </w:r>
          </w:p>
          <w:p w14:paraId="15669C1C" w14:textId="77777777" w:rsidR="00997093" w:rsidRDefault="00997093">
            <w:pPr>
              <w:rPr>
                <w:iCs/>
                <w:szCs w:val="22"/>
                <w:highlight w:val="yellow"/>
              </w:rPr>
            </w:pPr>
          </w:p>
        </w:tc>
      </w:tr>
    </w:tbl>
    <w:p w14:paraId="678D01BF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Může být závažné (včetně fatálního průběhu) a má by být léčeno symptomaticky.</w:t>
      </w:r>
    </w:p>
    <w:p w14:paraId="2788F180" w14:textId="77777777" w:rsidR="00997093" w:rsidRDefault="00B33FFE">
      <w:pPr>
        <w:keepNext/>
        <w:rPr>
          <w:szCs w:val="22"/>
        </w:rPr>
      </w:pPr>
      <w:proofErr w:type="gramStart"/>
      <w:r>
        <w:rPr>
          <w:szCs w:val="22"/>
          <w:vertAlign w:val="superscript"/>
        </w:rPr>
        <w:t>2 </w:t>
      </w:r>
      <w:r>
        <w:rPr>
          <w:szCs w:val="22"/>
        </w:rPr>
        <w:t xml:space="preserve"> Přechodné</w:t>
      </w:r>
      <w:proofErr w:type="gramEnd"/>
      <w:r>
        <w:rPr>
          <w:szCs w:val="22"/>
        </w:rPr>
        <w:t>, vyřeší se bez zásahu.</w:t>
      </w:r>
    </w:p>
    <w:p w14:paraId="4BA591AB" w14:textId="77777777" w:rsidR="00997093" w:rsidRDefault="00997093">
      <w:pPr>
        <w:keepNext/>
        <w:rPr>
          <w:szCs w:val="22"/>
        </w:rPr>
      </w:pPr>
    </w:p>
    <w:p w14:paraId="29D2229E" w14:textId="77777777" w:rsidR="00997093" w:rsidRDefault="00B33FFE">
      <w:pPr>
        <w:keepNext/>
        <w:rPr>
          <w:szCs w:val="22"/>
        </w:rPr>
      </w:pPr>
      <w:r>
        <w:rPr>
          <w:szCs w:val="22"/>
        </w:rPr>
        <w:t xml:space="preserve">Prasata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61D5F010" w14:textId="77777777">
        <w:tc>
          <w:tcPr>
            <w:tcW w:w="1957" w:type="pct"/>
          </w:tcPr>
          <w:p w14:paraId="7D86C489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362EC45D" w14:textId="073420F3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</w:tcPr>
          <w:p w14:paraId="3B3002B8" w14:textId="77777777" w:rsidR="00997093" w:rsidRDefault="00B33FFE">
            <w:proofErr w:type="spellStart"/>
            <w:r>
              <w:t>Anafylaktoidní</w:t>
            </w:r>
            <w:proofErr w:type="spellEnd"/>
            <w:r>
              <w:t xml:space="preserve"> reakce</w:t>
            </w:r>
            <w:r>
              <w:rPr>
                <w:vertAlign w:val="superscript"/>
              </w:rPr>
              <w:t>1</w:t>
            </w:r>
          </w:p>
          <w:p w14:paraId="3BE52C01" w14:textId="77777777" w:rsidR="00997093" w:rsidRDefault="00997093">
            <w:pPr>
              <w:rPr>
                <w:iCs/>
                <w:szCs w:val="22"/>
                <w:highlight w:val="yellow"/>
              </w:rPr>
            </w:pPr>
          </w:p>
        </w:tc>
      </w:tr>
    </w:tbl>
    <w:p w14:paraId="67677D83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Může být závažné (včetně fatálního průběhu) a má by být léčeno symptomaticky.</w:t>
      </w:r>
    </w:p>
    <w:p w14:paraId="0846F36B" w14:textId="77777777" w:rsidR="00997093" w:rsidRDefault="00997093">
      <w:pPr>
        <w:keepNext/>
        <w:rPr>
          <w:szCs w:val="22"/>
        </w:rPr>
      </w:pPr>
    </w:p>
    <w:p w14:paraId="57717515" w14:textId="77777777" w:rsidR="00177ADF" w:rsidRDefault="00B33FFE">
      <w:pPr>
        <w:rPr>
          <w:szCs w:val="22"/>
        </w:rPr>
      </w:pPr>
      <w:r w:rsidRPr="00E14690">
        <w:rPr>
          <w:szCs w:val="22"/>
        </w:rPr>
        <w:t xml:space="preserve">Hlášení nežádoucích účinků je důležité. Umožňuje nepřetržité sledování bezpečnosti přípravku. Jestliže zaznamenáte jakékoli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46659CDC" w14:textId="77777777" w:rsidR="00060367" w:rsidRDefault="00060367" w:rsidP="00177ADF">
      <w:pPr>
        <w:tabs>
          <w:tab w:val="left" w:pos="-720"/>
        </w:tabs>
        <w:suppressAutoHyphens/>
        <w:spacing w:line="240" w:lineRule="auto"/>
      </w:pPr>
    </w:p>
    <w:p w14:paraId="4BBF4C4F" w14:textId="4E5C4F93" w:rsidR="00177ADF" w:rsidRPr="00E14690" w:rsidRDefault="00177ADF" w:rsidP="00177ADF">
      <w:pPr>
        <w:tabs>
          <w:tab w:val="left" w:pos="-720"/>
        </w:tabs>
        <w:suppressAutoHyphens/>
        <w:spacing w:line="240" w:lineRule="auto"/>
      </w:pPr>
      <w:r w:rsidRPr="00E14690">
        <w:t xml:space="preserve">Ústav pro státní kontrolu veterinárních biopreparátů a léčiv </w:t>
      </w:r>
    </w:p>
    <w:p w14:paraId="04DF5994" w14:textId="433F7153" w:rsidR="00177ADF" w:rsidRPr="00E14690" w:rsidRDefault="00177ADF" w:rsidP="00177ADF">
      <w:pPr>
        <w:tabs>
          <w:tab w:val="left" w:pos="-720"/>
        </w:tabs>
        <w:suppressAutoHyphens/>
        <w:spacing w:line="240" w:lineRule="auto"/>
      </w:pPr>
      <w:r w:rsidRPr="00E14690">
        <w:t>Hudcova 232/56</w:t>
      </w:r>
      <w:r w:rsidR="00060367">
        <w:t xml:space="preserve"> </w:t>
      </w:r>
      <w:r w:rsidRPr="00E14690">
        <w:t xml:space="preserve">a </w:t>
      </w:r>
    </w:p>
    <w:p w14:paraId="077C454E" w14:textId="77777777" w:rsidR="00177ADF" w:rsidRPr="00E14690" w:rsidRDefault="00177ADF" w:rsidP="00177ADF">
      <w:pPr>
        <w:tabs>
          <w:tab w:val="left" w:pos="-720"/>
        </w:tabs>
        <w:suppressAutoHyphens/>
        <w:spacing w:line="240" w:lineRule="auto"/>
      </w:pPr>
      <w:r w:rsidRPr="00E14690">
        <w:t>621 00 Brno</w:t>
      </w:r>
    </w:p>
    <w:p w14:paraId="457B8033" w14:textId="75E0CC83" w:rsidR="00177ADF" w:rsidRPr="00E14690" w:rsidRDefault="00060367" w:rsidP="00177ADF">
      <w:pPr>
        <w:tabs>
          <w:tab w:val="left" w:pos="-720"/>
        </w:tabs>
        <w:suppressAutoHyphens/>
        <w:spacing w:line="240" w:lineRule="auto"/>
      </w:pPr>
      <w:r>
        <w:t>E</w:t>
      </w:r>
      <w:r w:rsidR="00177ADF" w:rsidRPr="00E14690">
        <w:t xml:space="preserve">-mail: </w:t>
      </w:r>
      <w:hyperlink r:id="rId14" w:history="1">
        <w:r w:rsidR="00177ADF" w:rsidRPr="00E14690">
          <w:rPr>
            <w:rStyle w:val="Hypertextovodkaz"/>
          </w:rPr>
          <w:t>adr@uskvbl.cz</w:t>
        </w:r>
      </w:hyperlink>
    </w:p>
    <w:p w14:paraId="2DF20D94" w14:textId="77777777" w:rsidR="00177ADF" w:rsidRPr="00E14690" w:rsidRDefault="00177ADF" w:rsidP="00177ADF">
      <w:pPr>
        <w:tabs>
          <w:tab w:val="left" w:pos="-720"/>
        </w:tabs>
        <w:suppressAutoHyphens/>
        <w:spacing w:line="240" w:lineRule="auto"/>
      </w:pPr>
      <w:r w:rsidRPr="00E14690">
        <w:t xml:space="preserve">Webové stránky: </w:t>
      </w:r>
      <w:hyperlink r:id="rId15" w:history="1">
        <w:r w:rsidRPr="00E14690">
          <w:rPr>
            <w:rStyle w:val="Hypertextovodkaz"/>
          </w:rPr>
          <w:t>http://www.uskvbl.cz/cs/farmakovigilance</w:t>
        </w:r>
      </w:hyperlink>
      <w:r w:rsidRPr="00E14690">
        <w:t>&gt;</w:t>
      </w:r>
    </w:p>
    <w:p w14:paraId="644E4A4D" w14:textId="30C953AF" w:rsidR="00997093" w:rsidRDefault="0099709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9C317F" w14:textId="77777777" w:rsidR="002A6D6D" w:rsidRDefault="002A6D6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85504E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14690">
        <w:rPr>
          <w:b/>
          <w:bCs/>
          <w:szCs w:val="22"/>
          <w:highlight w:val="lightGray"/>
        </w:rPr>
        <w:t>8.</w:t>
      </w:r>
      <w:r>
        <w:rPr>
          <w:b/>
          <w:bCs/>
          <w:szCs w:val="22"/>
        </w:rPr>
        <w:tab/>
        <w:t xml:space="preserve">DÁVKOVÁNÍ PRO KAŽDÝ DRUH, CESTY A ZPŮSOB PODÁNÍ </w:t>
      </w:r>
    </w:p>
    <w:p w14:paraId="57667C21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1B4D5E2" w14:textId="77777777" w:rsidR="00997093" w:rsidRDefault="00B33F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Subkutánní podání, intramuskulární podání, intravenózní podání.</w:t>
      </w:r>
    </w:p>
    <w:p w14:paraId="0EFA8C62" w14:textId="77777777" w:rsidR="00997093" w:rsidRDefault="0099709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CE83F14" w14:textId="77777777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</w:p>
    <w:p w14:paraId="34C8B3F0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Jednorázové subkutánní nebo intravenózní podání v dávce 0,5 mg </w:t>
      </w:r>
      <w:proofErr w:type="spellStart"/>
      <w:r>
        <w:rPr>
          <w:szCs w:val="22"/>
        </w:rPr>
        <w:t>meloxikamu</w:t>
      </w:r>
      <w:proofErr w:type="spellEnd"/>
      <w:r>
        <w:rPr>
          <w:szCs w:val="22"/>
        </w:rPr>
        <w:t>/kg živé hmotnosti (tj. 2,5 ml veterinárního léčivého přípravku na 100 kg živé hmotnosti), podle potřeby v kombinaci s léčbou antibiotiky nebo s odpovídající perorální rehydratační terapií.</w:t>
      </w:r>
    </w:p>
    <w:p w14:paraId="12ABD794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657A16F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</w:p>
    <w:p w14:paraId="17D0DA07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lastRenderedPageBreak/>
        <w:t xml:space="preserve">Jednorázové intramuskulární podání v dávce 0,4 mg </w:t>
      </w:r>
      <w:proofErr w:type="spellStart"/>
      <w:r>
        <w:rPr>
          <w:szCs w:val="22"/>
        </w:rPr>
        <w:t>meloxikamu</w:t>
      </w:r>
      <w:proofErr w:type="spellEnd"/>
      <w:r>
        <w:rPr>
          <w:szCs w:val="22"/>
        </w:rPr>
        <w:t xml:space="preserve">/kg živé hmotnosti (tj. 2,0 ml veterinárního léčivého přípravku na 100 kg živé hmotnosti), podle potřeby v kombinaci s příslušnou léčbou antibiotiky. Je-li to zapotřebí, lze za 24 hodin aplikovat druhou dávku </w:t>
      </w:r>
      <w:proofErr w:type="spellStart"/>
      <w:r>
        <w:rPr>
          <w:szCs w:val="22"/>
        </w:rPr>
        <w:t>meloxikamu</w:t>
      </w:r>
      <w:proofErr w:type="spellEnd"/>
      <w:r>
        <w:rPr>
          <w:szCs w:val="22"/>
        </w:rPr>
        <w:t>.</w:t>
      </w:r>
    </w:p>
    <w:p w14:paraId="42490A85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725713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</w:p>
    <w:p w14:paraId="4274860C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Jednorázové intravenózní podání v dávce 0,6 mg </w:t>
      </w:r>
      <w:proofErr w:type="spellStart"/>
      <w:r>
        <w:rPr>
          <w:szCs w:val="22"/>
        </w:rPr>
        <w:t>meloxikamu</w:t>
      </w:r>
      <w:proofErr w:type="spellEnd"/>
      <w:r>
        <w:rPr>
          <w:szCs w:val="22"/>
        </w:rPr>
        <w:t>/kg živé hmotnosti (tj. 3,0 ml veterinárního léčivého přípravku na 100 kg živé hmotnosti).</w:t>
      </w:r>
    </w:p>
    <w:p w14:paraId="0B475002" w14:textId="0A702A33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K</w:t>
      </w:r>
      <w:r w:rsidR="001209F9">
        <w:rPr>
          <w:szCs w:val="22"/>
        </w:rPr>
        <w:t>e</w:t>
      </w:r>
      <w:r>
        <w:rPr>
          <w:szCs w:val="22"/>
        </w:rPr>
        <w:t xml:space="preserve"> zmírnění zánětu a bolesti při akutním a chronickém onemocnění </w:t>
      </w:r>
      <w:proofErr w:type="spellStart"/>
      <w:r>
        <w:rPr>
          <w:szCs w:val="22"/>
        </w:rPr>
        <w:t>muskuloskeletálního</w:t>
      </w:r>
      <w:proofErr w:type="spellEnd"/>
      <w:r>
        <w:rPr>
          <w:szCs w:val="22"/>
        </w:rPr>
        <w:t xml:space="preserve"> aparátu může být vhodná perorální terapie obsahující </w:t>
      </w:r>
      <w:proofErr w:type="spellStart"/>
      <w:r>
        <w:rPr>
          <w:szCs w:val="22"/>
        </w:rPr>
        <w:t>meloxikam</w:t>
      </w:r>
      <w:proofErr w:type="spellEnd"/>
      <w:r>
        <w:rPr>
          <w:szCs w:val="22"/>
        </w:rPr>
        <w:t xml:space="preserve"> podaná v souladu s doporučením v příbalové informaci použitá pro kontinuální léčbu 24 hodin po injekčním podání.</w:t>
      </w:r>
    </w:p>
    <w:p w14:paraId="49D50171" w14:textId="2123B592" w:rsidR="00997093" w:rsidRDefault="00997093">
      <w:pPr>
        <w:rPr>
          <w:rFonts w:eastAsia="Cambria"/>
        </w:rPr>
      </w:pPr>
    </w:p>
    <w:p w14:paraId="71F9731C" w14:textId="77777777" w:rsidR="002A6D6D" w:rsidRDefault="002A6D6D">
      <w:pPr>
        <w:rPr>
          <w:rFonts w:eastAsia="Cambria"/>
        </w:rPr>
      </w:pPr>
    </w:p>
    <w:p w14:paraId="0BA5260B" w14:textId="77777777" w:rsidR="00997093" w:rsidRDefault="00B33FF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9.</w:t>
      </w:r>
      <w:r>
        <w:rPr>
          <w:b/>
          <w:szCs w:val="22"/>
          <w:lang w:bidi="cs-CZ"/>
        </w:rPr>
        <w:tab/>
      </w:r>
      <w:r>
        <w:rPr>
          <w:b/>
          <w:caps/>
        </w:rPr>
        <w:t>Informace o správném podávání</w:t>
      </w:r>
      <w:r>
        <w:rPr>
          <w:b/>
          <w:caps/>
          <w:szCs w:val="22"/>
          <w:lang w:bidi="cs-CZ"/>
        </w:rPr>
        <w:t xml:space="preserve"> </w:t>
      </w:r>
    </w:p>
    <w:p w14:paraId="59B12D3D" w14:textId="77777777" w:rsidR="00997093" w:rsidRDefault="00997093">
      <w:pPr>
        <w:spacing w:line="240" w:lineRule="auto"/>
        <w:jc w:val="both"/>
        <w:rPr>
          <w:rFonts w:eastAsia="Cambria"/>
          <w:szCs w:val="22"/>
          <w:lang w:val="gsw-FR" w:eastAsia="ja-JP"/>
        </w:rPr>
      </w:pPr>
    </w:p>
    <w:p w14:paraId="7D2174AB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 průběhu použití zabraňte kontaminaci.</w:t>
      </w:r>
      <w:r>
        <w:rPr>
          <w:szCs w:val="22"/>
        </w:rPr>
        <w:br/>
        <w:t>Nepropichujte zátku více než 50krát.</w:t>
      </w:r>
    </w:p>
    <w:p w14:paraId="0785B976" w14:textId="09C1E78B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6EDC8866" w14:textId="77777777" w:rsidR="002A6D6D" w:rsidRDefault="002A6D6D">
      <w:pPr>
        <w:tabs>
          <w:tab w:val="clear" w:pos="567"/>
        </w:tabs>
        <w:spacing w:line="240" w:lineRule="auto"/>
        <w:rPr>
          <w:szCs w:val="22"/>
        </w:rPr>
      </w:pPr>
    </w:p>
    <w:p w14:paraId="3028A8BA" w14:textId="77777777" w:rsidR="00997093" w:rsidRDefault="00B33FF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10.</w:t>
      </w:r>
      <w:r>
        <w:rPr>
          <w:b/>
          <w:szCs w:val="22"/>
          <w:lang w:bidi="cs-CZ"/>
        </w:rPr>
        <w:tab/>
        <w:t>OCHRANNÉ LHŮTY</w:t>
      </w:r>
    </w:p>
    <w:p w14:paraId="22DDBEA4" w14:textId="77777777" w:rsidR="00997093" w:rsidRDefault="00997093">
      <w:pPr>
        <w:spacing w:line="260" w:lineRule="atLeast"/>
        <w:rPr>
          <w:rFonts w:ascii="Calibri" w:eastAsia="Calibri" w:hAnsi="Calibri" w:cs="Calibri"/>
          <w:color w:val="000000" w:themeColor="text1"/>
          <w:szCs w:val="22"/>
        </w:rPr>
      </w:pPr>
    </w:p>
    <w:p w14:paraId="2FE74F9A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  <w:r>
        <w:rPr>
          <w:szCs w:val="22"/>
        </w:rPr>
        <w:tab/>
        <w:t>maso: 15 dní, mléko: 120 hodin</w:t>
      </w:r>
    </w:p>
    <w:p w14:paraId="57E59F5C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  <w:r>
        <w:rPr>
          <w:szCs w:val="22"/>
        </w:rPr>
        <w:tab/>
        <w:t>maso: 5 dní.</w:t>
      </w:r>
    </w:p>
    <w:p w14:paraId="1F1F7327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  <w:r>
        <w:rPr>
          <w:szCs w:val="22"/>
        </w:rPr>
        <w:tab/>
        <w:t>maso: 5 dní.</w:t>
      </w:r>
    </w:p>
    <w:p w14:paraId="149153C5" w14:textId="77777777" w:rsidR="00997093" w:rsidRDefault="00997093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</w:p>
    <w:p w14:paraId="264773A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u koní, jejichž mléko je určeno pro lidskou spotřebu.</w:t>
      </w:r>
    </w:p>
    <w:p w14:paraId="1E2D75C9" w14:textId="1D69A725" w:rsidR="00997093" w:rsidRDefault="00997093">
      <w:pPr>
        <w:rPr>
          <w:iCs/>
        </w:rPr>
      </w:pPr>
    </w:p>
    <w:p w14:paraId="793DF41B" w14:textId="77777777" w:rsidR="002A6D6D" w:rsidRDefault="002A6D6D">
      <w:pPr>
        <w:rPr>
          <w:iCs/>
        </w:rPr>
      </w:pPr>
    </w:p>
    <w:p w14:paraId="510C73DD" w14:textId="77777777" w:rsidR="00997093" w:rsidRDefault="00B33FF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11.</w:t>
      </w:r>
      <w:r>
        <w:rPr>
          <w:b/>
          <w:szCs w:val="22"/>
          <w:lang w:bidi="cs-CZ"/>
        </w:rPr>
        <w:tab/>
        <w:t>ZVLÁŠTNÍ OPATŘENÍ PRO UCHOVÁVÁNÍ</w:t>
      </w:r>
    </w:p>
    <w:p w14:paraId="65C5C8F0" w14:textId="77777777" w:rsidR="00997093" w:rsidRDefault="00997093"/>
    <w:p w14:paraId="6FBA8F5A" w14:textId="15330F5B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Uchováv</w:t>
      </w:r>
      <w:r w:rsidR="00A40F41">
        <w:rPr>
          <w:szCs w:val="22"/>
        </w:rPr>
        <w:t>ejte</w:t>
      </w:r>
      <w:r>
        <w:rPr>
          <w:szCs w:val="22"/>
        </w:rPr>
        <w:t xml:space="preserve"> mimo dohled a dosah dětí.</w:t>
      </w:r>
    </w:p>
    <w:p w14:paraId="631A6CA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Tento veterinární léčivý přípravek nevyžaduje žádné zvláštní podmínky uchovávání. </w:t>
      </w:r>
    </w:p>
    <w:p w14:paraId="07C801CB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Doba použitelnosti po prvním otevření vnitřního obalu: 28 dní.</w:t>
      </w:r>
    </w:p>
    <w:p w14:paraId="1EF96D2A" w14:textId="62E0CA0F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Nepoužívejte tento veterinární léčivý přípravek po uplynutí doby použitelnosti uvedené na krabičce a injekční lahvičce po E</w:t>
      </w:r>
      <w:r w:rsidR="00DE764B">
        <w:rPr>
          <w:szCs w:val="22"/>
        </w:rPr>
        <w:t>xp</w:t>
      </w:r>
      <w:r>
        <w:rPr>
          <w:szCs w:val="22"/>
        </w:rPr>
        <w:t>. Doba použitelnosti končí posledním dnem v uvedeném měsíci.</w:t>
      </w:r>
    </w:p>
    <w:p w14:paraId="61DDA25F" w14:textId="77777777" w:rsidR="00997093" w:rsidRDefault="00997093"/>
    <w:p w14:paraId="0EAB069C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522937F5" w14:textId="77777777" w:rsidR="00997093" w:rsidRDefault="00B33FFE" w:rsidP="002A6D6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12.</w:t>
      </w:r>
      <w:r>
        <w:rPr>
          <w:b/>
          <w:szCs w:val="22"/>
          <w:lang w:bidi="cs-CZ"/>
        </w:rPr>
        <w:tab/>
        <w:t xml:space="preserve">ZVLÁŠTNÍ OPATŘENÍ PRO </w:t>
      </w:r>
      <w:r>
        <w:rPr>
          <w:b/>
          <w:caps/>
          <w:szCs w:val="22"/>
          <w:lang w:bidi="cs-CZ"/>
        </w:rPr>
        <w:t>likvidaci</w:t>
      </w:r>
    </w:p>
    <w:p w14:paraId="12548F11" w14:textId="77777777" w:rsidR="00997093" w:rsidRDefault="00997093" w:rsidP="002A6D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014994" w14:textId="77777777" w:rsidR="00997093" w:rsidRDefault="00B33FFE">
      <w:pPr>
        <w:tabs>
          <w:tab w:val="clear" w:pos="567"/>
        </w:tabs>
        <w:spacing w:line="240" w:lineRule="auto"/>
        <w:rPr>
          <w:szCs w:val="22"/>
          <w:lang w:bidi="cs-CZ"/>
        </w:rPr>
      </w:pPr>
      <w:r>
        <w:rPr>
          <w:szCs w:val="22"/>
          <w:lang w:bidi="cs-CZ"/>
        </w:rPr>
        <w:t xml:space="preserve">Léčivé přípravky se nesmí likvidovat prostřednictvím odpadní vody či domovního odpadu. </w:t>
      </w:r>
    </w:p>
    <w:p w14:paraId="39709AC4" w14:textId="64B47D89" w:rsidR="00997093" w:rsidRDefault="00B33FFE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 xml:space="preserve">Všechen nepoužitý veterinární léčivý přípravek nebo odpad, který pochází z tohoto přípravku, likvidujte odevzdáním v souladu s místními požadavky a platnými národními systémy sběru. </w:t>
      </w:r>
      <w:r>
        <w:rPr>
          <w:szCs w:val="22"/>
          <w:lang w:bidi="cs-CZ"/>
        </w:rPr>
        <w:t>Tato opatření napomáhají chránit životní prostředí.</w:t>
      </w:r>
      <w:r>
        <w:rPr>
          <w:szCs w:val="22"/>
          <w:lang w:val="gsw-FR"/>
        </w:rPr>
        <w:t xml:space="preserve"> </w:t>
      </w:r>
    </w:p>
    <w:p w14:paraId="2FEE2F8A" w14:textId="77777777" w:rsidR="00997093" w:rsidRDefault="00B33FFE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O možnostech likvidace nepotřebných léčivých přípravků se poraďte s vaším veterinárním lékařem nebo lékárníkem.</w:t>
      </w:r>
    </w:p>
    <w:p w14:paraId="5FA28EE8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7A5148F2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B6876FC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E14690">
        <w:rPr>
          <w:b/>
          <w:szCs w:val="22"/>
          <w:highlight w:val="lightGray"/>
          <w:lang w:val="gsw-FR"/>
        </w:rPr>
        <w:t>13.</w:t>
      </w:r>
      <w:r>
        <w:rPr>
          <w:b/>
          <w:szCs w:val="22"/>
          <w:lang w:val="gsw-FR"/>
        </w:rPr>
        <w:tab/>
      </w:r>
      <w:r>
        <w:rPr>
          <w:b/>
          <w:caps/>
          <w:szCs w:val="22"/>
          <w:lang w:val="gsw-FR"/>
        </w:rPr>
        <w:t>Klasifikace veterinárních léčivých přípravků</w:t>
      </w:r>
    </w:p>
    <w:p w14:paraId="11A959D2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8E79094" w14:textId="77777777" w:rsidR="00997093" w:rsidRDefault="00B33FFE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Veterinární léčivý přípravek je vydáván pouze na předpis.</w:t>
      </w:r>
    </w:p>
    <w:p w14:paraId="56A23596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7EEA1B2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8BDFA37" w14:textId="77777777" w:rsidR="00997093" w:rsidRDefault="00B33FFE">
      <w:pPr>
        <w:keepNext/>
        <w:tabs>
          <w:tab w:val="clear" w:pos="567"/>
        </w:tabs>
        <w:spacing w:line="240" w:lineRule="auto"/>
        <w:rPr>
          <w:caps/>
          <w:szCs w:val="22"/>
        </w:rPr>
      </w:pPr>
      <w:r>
        <w:rPr>
          <w:b/>
          <w:szCs w:val="22"/>
          <w:highlight w:val="lightGray"/>
          <w:lang w:bidi="cs-CZ"/>
        </w:rPr>
        <w:t>14.</w:t>
      </w:r>
      <w:r>
        <w:rPr>
          <w:b/>
          <w:szCs w:val="22"/>
          <w:lang w:bidi="cs-CZ"/>
        </w:rPr>
        <w:tab/>
      </w:r>
      <w:r>
        <w:t xml:space="preserve"> </w:t>
      </w:r>
      <w:r>
        <w:rPr>
          <w:b/>
          <w:caps/>
          <w:szCs w:val="22"/>
          <w:lang w:bidi="cs-CZ"/>
        </w:rPr>
        <w:t>Registrační čísla a velikosti balení</w:t>
      </w:r>
    </w:p>
    <w:p w14:paraId="7B34CD91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998A021" w14:textId="51C2F2BA" w:rsidR="00997093" w:rsidRDefault="00E1469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E14690">
        <w:rPr>
          <w:szCs w:val="22"/>
        </w:rPr>
        <w:t>96/037/</w:t>
      </w:r>
      <w:proofErr w:type="gramStart"/>
      <w:r w:rsidRPr="00E14690">
        <w:rPr>
          <w:szCs w:val="22"/>
        </w:rPr>
        <w:t>22-C</w:t>
      </w:r>
      <w:proofErr w:type="gramEnd"/>
    </w:p>
    <w:p w14:paraId="3EE6AE59" w14:textId="77777777" w:rsidR="00E14690" w:rsidRDefault="00E1469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0" w:name="_GoBack"/>
      <w:bookmarkEnd w:id="0"/>
    </w:p>
    <w:p w14:paraId="7F43F0EB" w14:textId="21D86C9C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Bezbarvá skleněná (typ I) injekční lahvička uzavřená </w:t>
      </w:r>
      <w:proofErr w:type="spellStart"/>
      <w:r>
        <w:rPr>
          <w:szCs w:val="22"/>
        </w:rPr>
        <w:t>brombutylovou</w:t>
      </w:r>
      <w:proofErr w:type="spellEnd"/>
      <w:r>
        <w:rPr>
          <w:szCs w:val="22"/>
        </w:rPr>
        <w:t xml:space="preserve"> pryžovou zátkou a opatřená hliníkovým </w:t>
      </w:r>
      <w:proofErr w:type="spellStart"/>
      <w:r>
        <w:rPr>
          <w:szCs w:val="22"/>
        </w:rPr>
        <w:t>pertlem</w:t>
      </w:r>
      <w:proofErr w:type="spellEnd"/>
      <w:r>
        <w:rPr>
          <w:szCs w:val="22"/>
        </w:rPr>
        <w:t>.</w:t>
      </w:r>
      <w:r>
        <w:rPr>
          <w:szCs w:val="22"/>
        </w:rPr>
        <w:br/>
      </w:r>
      <w:r>
        <w:rPr>
          <w:szCs w:val="22"/>
        </w:rPr>
        <w:lastRenderedPageBreak/>
        <w:t xml:space="preserve">Papírová krabička s 1 </w:t>
      </w:r>
      <w:r w:rsidR="004B5090">
        <w:rPr>
          <w:szCs w:val="22"/>
        </w:rPr>
        <w:t xml:space="preserve">injekční </w:t>
      </w:r>
      <w:r>
        <w:rPr>
          <w:szCs w:val="22"/>
        </w:rPr>
        <w:t>lahvičkou o obsahu 50 ml.</w:t>
      </w:r>
      <w:r>
        <w:rPr>
          <w:szCs w:val="22"/>
        </w:rPr>
        <w:br/>
        <w:t xml:space="preserve">Papírová krabička s 1 </w:t>
      </w:r>
      <w:r w:rsidR="004B5090">
        <w:rPr>
          <w:szCs w:val="22"/>
        </w:rPr>
        <w:t xml:space="preserve">injekční </w:t>
      </w:r>
      <w:r>
        <w:rPr>
          <w:szCs w:val="22"/>
        </w:rPr>
        <w:t>lahvičkou o obsahu 100 ml.</w:t>
      </w:r>
      <w:r>
        <w:rPr>
          <w:szCs w:val="22"/>
        </w:rPr>
        <w:br/>
        <w:t xml:space="preserve">Papírová krabička s 1 </w:t>
      </w:r>
      <w:r w:rsidR="004B5090">
        <w:rPr>
          <w:szCs w:val="22"/>
        </w:rPr>
        <w:t xml:space="preserve">injekční </w:t>
      </w:r>
      <w:r>
        <w:rPr>
          <w:szCs w:val="22"/>
        </w:rPr>
        <w:t>lahvičkou o obsahu 250 ml.</w:t>
      </w:r>
    </w:p>
    <w:p w14:paraId="6C7E6CE4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245B0B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Na trhu nemusí být všechny velikosti balení.</w:t>
      </w:r>
    </w:p>
    <w:p w14:paraId="12C58459" w14:textId="77777777" w:rsidR="00997093" w:rsidRDefault="00997093">
      <w:pPr>
        <w:pStyle w:val="BODY"/>
        <w:rPr>
          <w:szCs w:val="22"/>
        </w:rPr>
      </w:pPr>
    </w:p>
    <w:p w14:paraId="3E730B85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E14690">
        <w:rPr>
          <w:b/>
          <w:szCs w:val="22"/>
          <w:highlight w:val="lightGray"/>
          <w:lang w:val="gsw-FR"/>
        </w:rPr>
        <w:t>15.</w:t>
      </w:r>
      <w:r>
        <w:rPr>
          <w:b/>
          <w:szCs w:val="22"/>
          <w:lang w:val="gsw-FR"/>
        </w:rPr>
        <w:tab/>
      </w:r>
      <w:r>
        <w:rPr>
          <w:b/>
          <w:szCs w:val="22"/>
          <w:lang w:bidi="cs-CZ"/>
        </w:rPr>
        <w:t>DATUM POSLEDNÍ REVIZE PŘÍBALOVÉ INFORMACE</w:t>
      </w:r>
      <w:r>
        <w:rPr>
          <w:b/>
          <w:szCs w:val="22"/>
          <w:lang w:val="gsw-FR"/>
        </w:rPr>
        <w:t xml:space="preserve"> </w:t>
      </w:r>
    </w:p>
    <w:p w14:paraId="5E8DC834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0465966" w14:textId="1C83D386" w:rsidR="00997093" w:rsidRDefault="00177ADF">
      <w:pPr>
        <w:rPr>
          <w:szCs w:val="22"/>
          <w:lang w:val="gsw-FR"/>
        </w:rPr>
      </w:pPr>
      <w:r>
        <w:rPr>
          <w:szCs w:val="22"/>
          <w:lang w:val="gsw-FR"/>
        </w:rPr>
        <w:t>03/2025</w:t>
      </w:r>
    </w:p>
    <w:p w14:paraId="25E03DC0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6ADC239" w14:textId="77777777" w:rsidR="00997093" w:rsidRDefault="00B33FFE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veterinárních léčivých přípravků Unie</w:t>
      </w:r>
      <w:r>
        <w:rPr>
          <w:szCs w:val="22"/>
          <w:lang w:val="gsw-FR"/>
        </w:rPr>
        <w:t xml:space="preserve"> (</w:t>
      </w:r>
      <w:hyperlink r:id="rId16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7300D3E7" w14:textId="303D3C62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36486C4" w14:textId="77777777" w:rsidR="00177ADF" w:rsidRPr="00E14690" w:rsidRDefault="00177ADF" w:rsidP="00177ADF">
      <w:pPr>
        <w:spacing w:line="240" w:lineRule="auto"/>
        <w:jc w:val="both"/>
      </w:pPr>
      <w:bookmarkStart w:id="1" w:name="_Hlk148433929"/>
      <w:r w:rsidRPr="00E14690">
        <w:t>Podrobné informace o tomto veterinárním léčivém přípravku naleznete také v národní databázi (</w:t>
      </w:r>
      <w:hyperlink r:id="rId17" w:history="1">
        <w:r w:rsidRPr="00E14690">
          <w:rPr>
            <w:rStyle w:val="Hypertextovodkaz"/>
          </w:rPr>
          <w:t>https://www.uskvbl.cz</w:t>
        </w:r>
      </w:hyperlink>
      <w:r w:rsidRPr="00E14690">
        <w:t>).</w:t>
      </w:r>
    </w:p>
    <w:bookmarkEnd w:id="1"/>
    <w:p w14:paraId="38425285" w14:textId="77777777" w:rsidR="00177ADF" w:rsidRDefault="00177ADF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1CE44E6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135E852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E14690">
        <w:rPr>
          <w:b/>
          <w:szCs w:val="22"/>
          <w:highlight w:val="lightGray"/>
          <w:lang w:val="gsw-FR"/>
        </w:rPr>
        <w:t>16.</w:t>
      </w:r>
      <w:r>
        <w:rPr>
          <w:b/>
          <w:szCs w:val="22"/>
          <w:lang w:val="gsw-FR"/>
        </w:rPr>
        <w:tab/>
      </w:r>
      <w:r>
        <w:rPr>
          <w:b/>
          <w:caps/>
          <w:szCs w:val="22"/>
          <w:lang w:val="gsw-FR"/>
        </w:rPr>
        <w:t>Kontaktní údaje</w:t>
      </w:r>
    </w:p>
    <w:p w14:paraId="6C1E778B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7DCF399" w14:textId="77777777" w:rsidR="00997093" w:rsidRPr="00E14690" w:rsidRDefault="00B33FFE">
      <w:pPr>
        <w:rPr>
          <w:iCs/>
          <w:szCs w:val="22"/>
          <w:highlight w:val="lightGray"/>
          <w:u w:val="single"/>
        </w:rPr>
      </w:pPr>
      <w:bookmarkStart w:id="2" w:name="_Hlk73552578"/>
      <w:r w:rsidRPr="00E14690">
        <w:rPr>
          <w:iCs/>
          <w:szCs w:val="22"/>
          <w:u w:val="single"/>
        </w:rPr>
        <w:t xml:space="preserve">Držitel rozhodnutí o registraci a výrobce odpovědný za uvolnění šarže </w:t>
      </w:r>
      <w:r w:rsidRPr="00E14690">
        <w:rPr>
          <w:iCs/>
          <w:szCs w:val="22"/>
          <w:highlight w:val="lightGray"/>
          <w:u w:val="single"/>
        </w:rPr>
        <w:t>a kontaktní údaje pro hlášení podezření na nežádoucí účinky:</w:t>
      </w:r>
    </w:p>
    <w:bookmarkEnd w:id="2"/>
    <w:p w14:paraId="227A2833" w14:textId="77777777" w:rsidR="00997093" w:rsidRDefault="00B33FFE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Alfasan Nederland B.V. </w:t>
      </w:r>
    </w:p>
    <w:p w14:paraId="4364EA6B" w14:textId="77777777" w:rsidR="00997093" w:rsidRDefault="00B33FFE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Kuipersweg 9</w:t>
      </w:r>
    </w:p>
    <w:p w14:paraId="1181E610" w14:textId="77777777" w:rsidR="00997093" w:rsidRDefault="00B33FFE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3449 JA Woerden</w:t>
      </w:r>
    </w:p>
    <w:p w14:paraId="3F63A976" w14:textId="77777777" w:rsidR="00997093" w:rsidRDefault="00B33FFE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Nizozemsko </w:t>
      </w:r>
    </w:p>
    <w:p w14:paraId="6D68EFCD" w14:textId="77777777" w:rsidR="00997093" w:rsidRDefault="00B33FFE">
      <w:pPr>
        <w:tabs>
          <w:tab w:val="clear" w:pos="567"/>
        </w:tabs>
        <w:spacing w:line="240" w:lineRule="auto"/>
        <w:rPr>
          <w:iCs/>
          <w:szCs w:val="22"/>
          <w:highlight w:val="lightGray"/>
          <w:u w:val="single"/>
          <w:lang w:val="en-GB"/>
        </w:rPr>
      </w:pPr>
      <w:bookmarkStart w:id="3" w:name="_Hlk112667445"/>
      <w:r>
        <w:rPr>
          <w:iCs/>
          <w:szCs w:val="22"/>
          <w:highlight w:val="lightGray"/>
          <w:u w:val="single"/>
          <w:lang w:val="en-GB"/>
        </w:rPr>
        <w:t>Tel: +31(0)348 </w:t>
      </w:r>
      <w:bookmarkEnd w:id="3"/>
      <w:r>
        <w:rPr>
          <w:iCs/>
          <w:szCs w:val="22"/>
          <w:highlight w:val="lightGray"/>
          <w:u w:val="single"/>
          <w:lang w:val="en-GB"/>
        </w:rPr>
        <w:t>416945</w:t>
      </w:r>
    </w:p>
    <w:p w14:paraId="6DC486CD" w14:textId="77777777" w:rsidR="00997093" w:rsidRDefault="00997093">
      <w:pPr>
        <w:tabs>
          <w:tab w:val="clear" w:pos="567"/>
        </w:tabs>
        <w:spacing w:line="240" w:lineRule="auto"/>
        <w:rPr>
          <w:lang w:val="gsw-FR"/>
        </w:rPr>
      </w:pPr>
    </w:p>
    <w:p w14:paraId="2774661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Výrobce odpovědn</w:t>
      </w:r>
      <w:r>
        <w:rPr>
          <w:color w:val="232323"/>
          <w:szCs w:val="22"/>
          <w:u w:val="single" w:color="000000"/>
        </w:rPr>
        <w:t>ý</w:t>
      </w:r>
      <w:r>
        <w:rPr>
          <w:szCs w:val="22"/>
          <w:u w:val="single"/>
        </w:rPr>
        <w:t xml:space="preserve"> za uvolnění šarže</w:t>
      </w:r>
      <w:r>
        <w:rPr>
          <w:szCs w:val="22"/>
        </w:rPr>
        <w:t xml:space="preserve">: </w:t>
      </w:r>
    </w:p>
    <w:p w14:paraId="377CCDA1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  <w:lang w:val="nl-NL"/>
        </w:rPr>
      </w:pPr>
      <w:r>
        <w:rPr>
          <w:szCs w:val="22"/>
          <w:lang w:val="nl-NL"/>
        </w:rPr>
        <w:t>Produlab Pharma B.V.</w:t>
      </w:r>
    </w:p>
    <w:p w14:paraId="49E97473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  <w:lang w:val="nl-NL"/>
        </w:rPr>
      </w:pPr>
      <w:r>
        <w:rPr>
          <w:szCs w:val="22"/>
          <w:lang w:val="nl-NL"/>
        </w:rPr>
        <w:t>Forellenweg 16</w:t>
      </w:r>
    </w:p>
    <w:p w14:paraId="1C254D40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  <w:lang w:val="nl-NL"/>
        </w:rPr>
      </w:pPr>
      <w:r>
        <w:rPr>
          <w:szCs w:val="22"/>
          <w:lang w:val="nl-NL"/>
        </w:rPr>
        <w:t>4941 SJ Raamsdonksveer</w:t>
      </w:r>
    </w:p>
    <w:p w14:paraId="5E11522F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  <w:lang w:val="nl-NL"/>
        </w:rPr>
      </w:pPr>
      <w:r>
        <w:rPr>
          <w:szCs w:val="22"/>
          <w:lang w:val="nl-NL"/>
        </w:rPr>
        <w:t>Nizozemsko</w:t>
      </w:r>
    </w:p>
    <w:p w14:paraId="598ACF48" w14:textId="77777777" w:rsidR="00997093" w:rsidRDefault="00997093">
      <w:pPr>
        <w:tabs>
          <w:tab w:val="clear" w:pos="567"/>
        </w:tabs>
        <w:spacing w:line="240" w:lineRule="auto"/>
        <w:rPr>
          <w:lang w:val="gsw-FR"/>
        </w:rPr>
      </w:pPr>
    </w:p>
    <w:p w14:paraId="3D3EE0D0" w14:textId="77777777" w:rsidR="00997093" w:rsidRDefault="0099709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043555E" w14:textId="77777777" w:rsidR="00997093" w:rsidRPr="00E14690" w:rsidRDefault="00B33FFE">
      <w:pPr>
        <w:tabs>
          <w:tab w:val="clear" w:pos="567"/>
        </w:tabs>
        <w:spacing w:line="240" w:lineRule="auto"/>
        <w:jc w:val="both"/>
        <w:rPr>
          <w:iCs/>
          <w:szCs w:val="22"/>
          <w:highlight w:val="lightGray"/>
          <w:u w:val="single"/>
        </w:rPr>
      </w:pPr>
      <w:r w:rsidRPr="00E14690">
        <w:rPr>
          <w:iCs/>
          <w:szCs w:val="22"/>
          <w:highlight w:val="lightGray"/>
          <w:u w:val="single"/>
        </w:rPr>
        <w:t>Místní zástupci a kontaktní údaje pro hlášení podezření na nežádoucí účinky:</w:t>
      </w:r>
    </w:p>
    <w:p w14:paraId="222ECDC5" w14:textId="77777777" w:rsidR="00997093" w:rsidRDefault="00997093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  <w:lang w:val="gsw-FR"/>
        </w:rPr>
      </w:pPr>
    </w:p>
    <w:p w14:paraId="7898B124" w14:textId="77777777" w:rsidR="00997093" w:rsidRDefault="00997093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  <w:lang w:val="gsw-FR"/>
        </w:rPr>
      </w:pPr>
    </w:p>
    <w:p w14:paraId="14D0A339" w14:textId="77777777" w:rsidR="00997093" w:rsidRDefault="0099709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</w:p>
    <w:p w14:paraId="23127FF9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17.</w:t>
      </w:r>
      <w:r>
        <w:rPr>
          <w:b/>
          <w:szCs w:val="22"/>
          <w:highlight w:val="lightGray"/>
        </w:rPr>
        <w:tab/>
      </w:r>
      <w:r w:rsidRPr="00E14690">
        <w:rPr>
          <w:b/>
          <w:szCs w:val="22"/>
          <w:highlight w:val="lightGray"/>
        </w:rPr>
        <w:t>DALŠÍ INFORMACE</w:t>
      </w:r>
    </w:p>
    <w:p w14:paraId="17C44B20" w14:textId="77777777" w:rsidR="00997093" w:rsidRDefault="00997093">
      <w:pPr>
        <w:pStyle w:val="BODY"/>
        <w:rPr>
          <w:szCs w:val="22"/>
        </w:rPr>
      </w:pPr>
    </w:p>
    <w:sectPr w:rsidR="00997093">
      <w:footerReference w:type="default" r:id="rId18"/>
      <w:headerReference w:type="first" r:id="rId19"/>
      <w:footerReference w:type="first" r:id="rId20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C9C9" w14:textId="77777777" w:rsidR="00B90277" w:rsidRDefault="00B90277">
      <w:r>
        <w:separator/>
      </w:r>
    </w:p>
  </w:endnote>
  <w:endnote w:type="continuationSeparator" w:id="0">
    <w:p w14:paraId="2CFC49C3" w14:textId="77777777" w:rsidR="00B90277" w:rsidRDefault="00B9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2610B3BA" w14:textId="77777777" w:rsidR="00997093" w:rsidRDefault="00B33FFE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17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0A68" w14:textId="77777777" w:rsidR="00997093" w:rsidRDefault="00B33FFE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6CFC0F5F" w14:textId="77777777" w:rsidR="00997093" w:rsidRDefault="0099709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5E1E" w14:textId="77777777" w:rsidR="00B90277" w:rsidRDefault="00B90277">
      <w:r>
        <w:separator/>
      </w:r>
    </w:p>
  </w:footnote>
  <w:footnote w:type="continuationSeparator" w:id="0">
    <w:p w14:paraId="4006CB6C" w14:textId="77777777" w:rsidR="00B90277" w:rsidRDefault="00B9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C803" w14:textId="7B488933" w:rsidR="00997093" w:rsidRDefault="00B33FFE" w:rsidP="00E14690">
    <w:pPr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4C384B"/>
    <w:multiLevelType w:val="hybridMultilevel"/>
    <w:tmpl w:val="9DE857BA"/>
    <w:lvl w:ilvl="0" w:tplc="FBCAFD24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8806904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4AB681DA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041AA4DC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34588598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87CC0036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5D4A5B60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D9507316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863E861A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abstractNum w:abstractNumId="10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4530"/>
    <w:multiLevelType w:val="hybridMultilevel"/>
    <w:tmpl w:val="0F0C8608"/>
    <w:lvl w:ilvl="0" w:tplc="7B141648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202F3CC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A426EBFE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15EA0CA8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F5124530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BE184E70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821A9A8A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390AA44E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E6365E6E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abstractNum w:abstractNumId="24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4"/>
  </w:num>
  <w:num w:numId="6">
    <w:abstractNumId w:val="18"/>
  </w:num>
  <w:num w:numId="7">
    <w:abstractNumId w:val="14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6"/>
  </w:num>
  <w:num w:numId="16">
    <w:abstractNumId w:val="13"/>
  </w:num>
  <w:num w:numId="17">
    <w:abstractNumId w:val="8"/>
  </w:num>
  <w:num w:numId="18">
    <w:abstractNumId w:val="10"/>
  </w:num>
  <w:num w:numId="19">
    <w:abstractNumId w:val="1"/>
  </w:num>
  <w:num w:numId="20">
    <w:abstractNumId w:val="21"/>
  </w:num>
  <w:num w:numId="21">
    <w:abstractNumId w:val="20"/>
  </w:num>
  <w:num w:numId="22">
    <w:abstractNumId w:val="22"/>
  </w:num>
  <w:num w:numId="23">
    <w:abstractNumId w:val="12"/>
  </w:num>
  <w:num w:numId="24">
    <w:abstractNumId w:val="9"/>
  </w:num>
  <w:num w:numId="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97093"/>
    <w:rsid w:val="00060367"/>
    <w:rsid w:val="000616C3"/>
    <w:rsid w:val="000D359B"/>
    <w:rsid w:val="001209F9"/>
    <w:rsid w:val="001673D8"/>
    <w:rsid w:val="00177ADF"/>
    <w:rsid w:val="001D4999"/>
    <w:rsid w:val="002359A0"/>
    <w:rsid w:val="002A6D6D"/>
    <w:rsid w:val="003719D9"/>
    <w:rsid w:val="004B5090"/>
    <w:rsid w:val="00542816"/>
    <w:rsid w:val="00585A89"/>
    <w:rsid w:val="006879B6"/>
    <w:rsid w:val="007843B1"/>
    <w:rsid w:val="008B1EC9"/>
    <w:rsid w:val="008B5DCB"/>
    <w:rsid w:val="009615E1"/>
    <w:rsid w:val="00997093"/>
    <w:rsid w:val="00A029C1"/>
    <w:rsid w:val="00A40F41"/>
    <w:rsid w:val="00A83640"/>
    <w:rsid w:val="00A94709"/>
    <w:rsid w:val="00B33FFE"/>
    <w:rsid w:val="00B57034"/>
    <w:rsid w:val="00B90277"/>
    <w:rsid w:val="00BD756F"/>
    <w:rsid w:val="00C3248D"/>
    <w:rsid w:val="00D03E91"/>
    <w:rsid w:val="00D76C69"/>
    <w:rsid w:val="00DB20CC"/>
    <w:rsid w:val="00DD388E"/>
    <w:rsid w:val="00DE764B"/>
    <w:rsid w:val="00E14690"/>
    <w:rsid w:val="00EC55F7"/>
    <w:rsid w:val="00E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C6D70"/>
  <w15:docId w15:val="{8F53AFE2-4B70-4A45-9A39-0FB4039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Normlnweb">
    <w:name w:val="Normal (Web)"/>
    <w:basedOn w:val="Normln"/>
    <w:uiPriority w:val="99"/>
    <w:unhideWhenUsed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skvbl.cz/cs/farmakovigilanc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r@uskvb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80EFC-4345-4D5D-9896-8BD97CC5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1336</Words>
  <Characters>7889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20</cp:revision>
  <cp:lastPrinted>2025-03-24T12:09:00Z</cp:lastPrinted>
  <dcterms:created xsi:type="dcterms:W3CDTF">2025-01-22T13:50:00Z</dcterms:created>
  <dcterms:modified xsi:type="dcterms:W3CDTF">2025-03-24T12:09:00Z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