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281B4" w14:textId="68399EC9" w:rsidR="00493434" w:rsidRPr="00F927D9" w:rsidRDefault="00303F8A" w:rsidP="00487B52">
      <w:pPr>
        <w:pStyle w:val="L10"/>
        <w:numPr>
          <w:ilvl w:val="0"/>
          <w:numId w:val="0"/>
        </w:numPr>
        <w:ind w:left="360"/>
      </w:pPr>
      <w:r>
        <w:rPr>
          <w:lang w:val="cs"/>
        </w:rPr>
        <w:t xml:space="preserve">B. </w:t>
      </w:r>
      <w:r w:rsidR="00493434">
        <w:rPr>
          <w:lang w:val="cs"/>
        </w:rPr>
        <w:t>PŘÍBALOVÁ INFORMACE</w:t>
      </w:r>
    </w:p>
    <w:p w14:paraId="7EAE4DD9" w14:textId="77777777" w:rsidR="00493434" w:rsidRPr="00F927D9" w:rsidRDefault="00493434" w:rsidP="00493434">
      <w:pPr>
        <w:jc w:val="center"/>
        <w:rPr>
          <w:b/>
          <w:bCs/>
        </w:rPr>
      </w:pPr>
      <w:r>
        <w:rPr>
          <w:b/>
          <w:bCs/>
          <w:lang w:val="cs"/>
        </w:rPr>
        <w:t xml:space="preserve">PŘÍBALOVÁ INFORMACE </w:t>
      </w:r>
      <w:r>
        <w:rPr>
          <w:b/>
          <w:bCs/>
          <w:shd w:val="clear" w:color="auto" w:fill="BFBFBF" w:themeFill="background1" w:themeFillShade="BF"/>
          <w:lang w:val="cs"/>
        </w:rPr>
        <w:t>(skládaný leták přilepený k vnitřnímu obalu)</w:t>
      </w:r>
    </w:p>
    <w:p w14:paraId="5FB3FA87" w14:textId="41891DA3" w:rsidR="00493434" w:rsidRPr="00F927D9" w:rsidRDefault="00493434" w:rsidP="00493434">
      <w:pPr>
        <w:jc w:val="center"/>
        <w:rPr>
          <w:b/>
          <w:bCs/>
        </w:rPr>
      </w:pPr>
      <w:proofErr w:type="spellStart"/>
      <w:r>
        <w:rPr>
          <w:b/>
          <w:bCs/>
          <w:lang w:val="cs"/>
        </w:rPr>
        <w:t>Alphalben</w:t>
      </w:r>
      <w:proofErr w:type="spellEnd"/>
      <w:r>
        <w:rPr>
          <w:b/>
          <w:bCs/>
          <w:lang w:val="cs"/>
        </w:rPr>
        <w:t xml:space="preserve"> 100 mg/ml </w:t>
      </w:r>
      <w:r w:rsidR="009E31B3">
        <w:rPr>
          <w:b/>
          <w:bCs/>
          <w:lang w:val="cs"/>
        </w:rPr>
        <w:t>per</w:t>
      </w:r>
      <w:r>
        <w:rPr>
          <w:b/>
          <w:bCs/>
          <w:lang w:val="cs"/>
        </w:rPr>
        <w:t>orální suspenze pro skot a ovce</w:t>
      </w:r>
    </w:p>
    <w:p w14:paraId="6A9747FF" w14:textId="7D1386DD" w:rsidR="00493434" w:rsidRPr="00F927D9" w:rsidRDefault="00F927D9" w:rsidP="00F927D9">
      <w:pPr>
        <w:pStyle w:val="L1"/>
        <w:numPr>
          <w:ilvl w:val="0"/>
          <w:numId w:val="13"/>
        </w:numPr>
        <w:ind w:left="851" w:hanging="851"/>
      </w:pPr>
      <w:r>
        <w:rPr>
          <w:lang w:val="cs"/>
        </w:rPr>
        <w:t>Název veterinárního léčivého přípravku</w:t>
      </w:r>
    </w:p>
    <w:p w14:paraId="6A065285" w14:textId="0BFCBF06" w:rsidR="00493434" w:rsidRPr="00F927D9" w:rsidRDefault="00F927D9" w:rsidP="00F974DD">
      <w:proofErr w:type="spellStart"/>
      <w:r>
        <w:rPr>
          <w:lang w:val="cs"/>
        </w:rPr>
        <w:t>Alphalben</w:t>
      </w:r>
      <w:proofErr w:type="spellEnd"/>
      <w:r>
        <w:rPr>
          <w:lang w:val="cs"/>
        </w:rPr>
        <w:t xml:space="preserve"> 100 mg/ml </w:t>
      </w:r>
      <w:r w:rsidR="00E51280">
        <w:rPr>
          <w:lang w:val="cs"/>
        </w:rPr>
        <w:t>per</w:t>
      </w:r>
      <w:r>
        <w:rPr>
          <w:lang w:val="cs"/>
        </w:rPr>
        <w:t>orální suspenze pro skot a ovce</w:t>
      </w:r>
    </w:p>
    <w:p w14:paraId="6BA7457E" w14:textId="308BF32B" w:rsidR="00F927D9" w:rsidRPr="00F927D9" w:rsidRDefault="00F927D9" w:rsidP="00F927D9">
      <w:pPr>
        <w:pStyle w:val="L1"/>
      </w:pPr>
      <w:r>
        <w:rPr>
          <w:lang w:val="cs"/>
        </w:rPr>
        <w:t>Složení</w:t>
      </w:r>
    </w:p>
    <w:p w14:paraId="18165B65" w14:textId="77777777" w:rsidR="00F927D9" w:rsidRPr="00F927D9" w:rsidRDefault="00F927D9" w:rsidP="00F927D9">
      <w:r>
        <w:rPr>
          <w:lang w:val="cs"/>
        </w:rPr>
        <w:t>Každý ml obsahuje:</w:t>
      </w:r>
    </w:p>
    <w:p w14:paraId="20CB080A" w14:textId="77777777" w:rsidR="00F927D9" w:rsidRPr="00F927D9" w:rsidRDefault="00F927D9" w:rsidP="00F927D9"/>
    <w:p w14:paraId="2CBCF521" w14:textId="77777777" w:rsidR="00F927D9" w:rsidRPr="00F927D9" w:rsidRDefault="00F927D9" w:rsidP="00F927D9">
      <w:r>
        <w:rPr>
          <w:lang w:val="cs"/>
        </w:rPr>
        <w:t>Léčivá látka:</w:t>
      </w:r>
    </w:p>
    <w:p w14:paraId="4C0C975E" w14:textId="310E621E" w:rsidR="00F927D9" w:rsidRPr="00F927D9" w:rsidRDefault="00F927D9" w:rsidP="00F927D9">
      <w:proofErr w:type="spellStart"/>
      <w:r>
        <w:rPr>
          <w:lang w:val="cs"/>
        </w:rPr>
        <w:t>Albendazol</w:t>
      </w:r>
      <w:r w:rsidR="00E51280">
        <w:rPr>
          <w:lang w:val="cs"/>
        </w:rPr>
        <w:t>um</w:t>
      </w:r>
      <w:proofErr w:type="spellEnd"/>
      <w:r w:rsidR="00E51280">
        <w:rPr>
          <w:lang w:val="cs"/>
        </w:rPr>
        <w:t xml:space="preserve"> </w:t>
      </w:r>
      <w:r>
        <w:rPr>
          <w:lang w:val="cs"/>
        </w:rPr>
        <w:t>100 mg</w:t>
      </w:r>
    </w:p>
    <w:p w14:paraId="1DECFC6C" w14:textId="77777777" w:rsidR="00F927D9" w:rsidRPr="00F927D9" w:rsidRDefault="00F927D9" w:rsidP="00F974DD"/>
    <w:tbl>
      <w:tblPr>
        <w:tblW w:w="5000" w:type="pct"/>
        <w:tblCellMar>
          <w:top w:w="28" w:type="dxa"/>
          <w:left w:w="110" w:type="dxa"/>
          <w:bottom w:w="28" w:type="dxa"/>
        </w:tblCellMar>
        <w:tblLook w:val="04A0" w:firstRow="1" w:lastRow="0" w:firstColumn="1" w:lastColumn="0" w:noHBand="0" w:noVBand="1"/>
      </w:tblPr>
      <w:tblGrid>
        <w:gridCol w:w="4531"/>
        <w:gridCol w:w="4532"/>
      </w:tblGrid>
      <w:tr w:rsidR="00F927D9" w:rsidRPr="00F927D9" w14:paraId="3836C721" w14:textId="77777777" w:rsidTr="00F927D9">
        <w:tc>
          <w:tcPr>
            <w:tcW w:w="2500" w:type="pct"/>
            <w:tcBorders>
              <w:top w:val="single" w:sz="4" w:space="0" w:color="000000"/>
              <w:left w:val="single" w:sz="4" w:space="0" w:color="000000"/>
              <w:bottom w:val="single" w:sz="4" w:space="0" w:color="000000"/>
              <w:right w:val="single" w:sz="4" w:space="0" w:color="000000"/>
            </w:tcBorders>
            <w:vAlign w:val="center"/>
          </w:tcPr>
          <w:p w14:paraId="53832632" w14:textId="2434DE7A" w:rsidR="00F927D9" w:rsidRPr="00F927D9" w:rsidRDefault="00F927D9" w:rsidP="00F927D9">
            <w:pPr>
              <w:jc w:val="left"/>
            </w:pPr>
            <w:r>
              <w:rPr>
                <w:lang w:val="cs"/>
              </w:rPr>
              <w:t xml:space="preserve">Pomocné látky: </w:t>
            </w:r>
            <w:r>
              <w:rPr>
                <w:b/>
                <w:bCs/>
                <w:lang w:val="cs"/>
              </w:rPr>
              <w:t>Kvalitativní složení pomocných látek a dalších složek</w:t>
            </w:r>
          </w:p>
        </w:tc>
        <w:tc>
          <w:tcPr>
            <w:tcW w:w="2500" w:type="pct"/>
            <w:tcBorders>
              <w:top w:val="single" w:sz="4" w:space="0" w:color="000000"/>
              <w:left w:val="single" w:sz="4" w:space="0" w:color="000000"/>
              <w:bottom w:val="single" w:sz="4" w:space="0" w:color="000000"/>
              <w:right w:val="single" w:sz="4" w:space="0" w:color="000000"/>
            </w:tcBorders>
            <w:vAlign w:val="center"/>
          </w:tcPr>
          <w:p w14:paraId="695D37E9" w14:textId="1B47A240" w:rsidR="00F927D9" w:rsidRPr="00F927D9" w:rsidRDefault="00F927D9" w:rsidP="00F927D9">
            <w:pPr>
              <w:jc w:val="left"/>
            </w:pPr>
            <w:r>
              <w:rPr>
                <w:b/>
                <w:bCs/>
                <w:lang w:val="cs"/>
              </w:rPr>
              <w:t>Kvantitativní složení, pokud je tato informace nezbytná pro řádné podání veterinárního léčivého přípravku</w:t>
            </w:r>
          </w:p>
        </w:tc>
      </w:tr>
      <w:tr w:rsidR="00F927D9" w:rsidRPr="00F927D9" w14:paraId="2873CDB5" w14:textId="77777777" w:rsidTr="00F927D9">
        <w:tc>
          <w:tcPr>
            <w:tcW w:w="2500" w:type="pct"/>
            <w:tcBorders>
              <w:top w:val="single" w:sz="4" w:space="0" w:color="000000"/>
              <w:left w:val="single" w:sz="4" w:space="0" w:color="000000"/>
              <w:bottom w:val="single" w:sz="4" w:space="0" w:color="000000"/>
              <w:right w:val="single" w:sz="4" w:space="0" w:color="000000"/>
            </w:tcBorders>
            <w:vAlign w:val="center"/>
          </w:tcPr>
          <w:p w14:paraId="2881FC87" w14:textId="19F6B740" w:rsidR="00F927D9" w:rsidRPr="00F927D9" w:rsidRDefault="00F927D9" w:rsidP="00F927D9">
            <w:pPr>
              <w:jc w:val="left"/>
            </w:pPr>
            <w:proofErr w:type="spellStart"/>
            <w:r>
              <w:rPr>
                <w:lang w:val="cs"/>
              </w:rPr>
              <w:t>Benzylalkohol</w:t>
            </w:r>
            <w:proofErr w:type="spellEnd"/>
            <w:r>
              <w:rPr>
                <w:lang w:val="cs"/>
              </w:rPr>
              <w:t xml:space="preserve"> (E1519)</w:t>
            </w:r>
          </w:p>
        </w:tc>
        <w:tc>
          <w:tcPr>
            <w:tcW w:w="2500" w:type="pct"/>
            <w:tcBorders>
              <w:top w:val="single" w:sz="4" w:space="0" w:color="000000"/>
              <w:left w:val="single" w:sz="4" w:space="0" w:color="000000"/>
              <w:bottom w:val="single" w:sz="4" w:space="0" w:color="000000"/>
              <w:right w:val="single" w:sz="4" w:space="0" w:color="000000"/>
            </w:tcBorders>
            <w:vAlign w:val="center"/>
          </w:tcPr>
          <w:p w14:paraId="1DC1A215" w14:textId="26282002" w:rsidR="00F927D9" w:rsidRPr="00F927D9" w:rsidRDefault="00F927D9" w:rsidP="00F927D9">
            <w:pPr>
              <w:jc w:val="left"/>
            </w:pPr>
            <w:r>
              <w:rPr>
                <w:lang w:val="cs"/>
              </w:rPr>
              <w:t>10 mg</w:t>
            </w:r>
          </w:p>
        </w:tc>
      </w:tr>
      <w:tr w:rsidR="00F927D9" w:rsidRPr="00F927D9" w14:paraId="7A710B1B" w14:textId="77777777" w:rsidTr="00F927D9">
        <w:tc>
          <w:tcPr>
            <w:tcW w:w="2500" w:type="pct"/>
            <w:tcBorders>
              <w:top w:val="single" w:sz="4" w:space="0" w:color="000000"/>
              <w:left w:val="single" w:sz="4" w:space="0" w:color="000000"/>
              <w:bottom w:val="single" w:sz="4" w:space="0" w:color="000000"/>
              <w:right w:val="single" w:sz="4" w:space="0" w:color="000000"/>
            </w:tcBorders>
            <w:vAlign w:val="center"/>
          </w:tcPr>
          <w:p w14:paraId="7DA75691" w14:textId="44814A74" w:rsidR="00F927D9" w:rsidRPr="00F927D9" w:rsidRDefault="00F927D9" w:rsidP="00F927D9">
            <w:pPr>
              <w:jc w:val="left"/>
            </w:pPr>
            <w:proofErr w:type="spellStart"/>
            <w:r>
              <w:rPr>
                <w:lang w:val="cs"/>
              </w:rPr>
              <w:t>Karbomer</w:t>
            </w:r>
            <w:proofErr w:type="spellEnd"/>
            <w:r>
              <w:rPr>
                <w:lang w:val="cs"/>
              </w:rPr>
              <w:t xml:space="preserve"> 971P</w:t>
            </w:r>
          </w:p>
        </w:tc>
        <w:tc>
          <w:tcPr>
            <w:tcW w:w="2500" w:type="pct"/>
            <w:tcBorders>
              <w:top w:val="single" w:sz="4" w:space="0" w:color="000000"/>
              <w:left w:val="single" w:sz="4" w:space="0" w:color="000000"/>
              <w:bottom w:val="single" w:sz="4" w:space="0" w:color="000000"/>
              <w:right w:val="single" w:sz="4" w:space="0" w:color="000000"/>
            </w:tcBorders>
            <w:vAlign w:val="center"/>
          </w:tcPr>
          <w:p w14:paraId="17B0F343" w14:textId="6C60AD63" w:rsidR="00F927D9" w:rsidRPr="00F927D9" w:rsidRDefault="00F927D9" w:rsidP="00F927D9">
            <w:pPr>
              <w:jc w:val="left"/>
            </w:pPr>
          </w:p>
        </w:tc>
      </w:tr>
      <w:tr w:rsidR="00F927D9" w:rsidRPr="00F927D9" w14:paraId="5F78AC74" w14:textId="77777777" w:rsidTr="00F927D9">
        <w:tc>
          <w:tcPr>
            <w:tcW w:w="2500" w:type="pct"/>
            <w:tcBorders>
              <w:top w:val="single" w:sz="4" w:space="0" w:color="000000"/>
              <w:left w:val="single" w:sz="4" w:space="0" w:color="000000"/>
              <w:bottom w:val="single" w:sz="4" w:space="0" w:color="000000"/>
              <w:right w:val="single" w:sz="4" w:space="0" w:color="000000"/>
            </w:tcBorders>
            <w:vAlign w:val="center"/>
          </w:tcPr>
          <w:p w14:paraId="5DC40CBC" w14:textId="5216E1DA" w:rsidR="00F927D9" w:rsidRPr="00F927D9" w:rsidRDefault="00F927D9" w:rsidP="00F927D9">
            <w:pPr>
              <w:jc w:val="left"/>
            </w:pPr>
            <w:proofErr w:type="spellStart"/>
            <w:r>
              <w:rPr>
                <w:lang w:val="cs"/>
              </w:rPr>
              <w:t>Polysorbát</w:t>
            </w:r>
            <w:proofErr w:type="spellEnd"/>
            <w:r>
              <w:rPr>
                <w:lang w:val="cs"/>
              </w:rPr>
              <w:t xml:space="preserve"> 80</w:t>
            </w:r>
          </w:p>
        </w:tc>
        <w:tc>
          <w:tcPr>
            <w:tcW w:w="2500" w:type="pct"/>
            <w:tcBorders>
              <w:top w:val="single" w:sz="4" w:space="0" w:color="000000"/>
              <w:left w:val="single" w:sz="4" w:space="0" w:color="000000"/>
              <w:bottom w:val="single" w:sz="4" w:space="0" w:color="000000"/>
              <w:right w:val="single" w:sz="4" w:space="0" w:color="000000"/>
            </w:tcBorders>
            <w:vAlign w:val="center"/>
          </w:tcPr>
          <w:p w14:paraId="452960F0" w14:textId="53E8A5CD" w:rsidR="00F927D9" w:rsidRPr="00F927D9" w:rsidRDefault="00F927D9" w:rsidP="00F927D9">
            <w:pPr>
              <w:jc w:val="left"/>
            </w:pPr>
          </w:p>
        </w:tc>
      </w:tr>
      <w:tr w:rsidR="00F927D9" w:rsidRPr="00F927D9" w14:paraId="716C0C5E" w14:textId="77777777" w:rsidTr="00F927D9">
        <w:tc>
          <w:tcPr>
            <w:tcW w:w="2500" w:type="pct"/>
            <w:tcBorders>
              <w:top w:val="single" w:sz="4" w:space="0" w:color="000000"/>
              <w:left w:val="single" w:sz="4" w:space="0" w:color="000000"/>
              <w:bottom w:val="single" w:sz="4" w:space="0" w:color="000000"/>
              <w:right w:val="single" w:sz="4" w:space="0" w:color="000000"/>
            </w:tcBorders>
            <w:vAlign w:val="center"/>
          </w:tcPr>
          <w:p w14:paraId="337CD31B" w14:textId="52E35B96" w:rsidR="00F927D9" w:rsidRPr="00F927D9" w:rsidRDefault="00F927D9" w:rsidP="00F927D9">
            <w:pPr>
              <w:jc w:val="left"/>
            </w:pPr>
            <w:proofErr w:type="spellStart"/>
            <w:r>
              <w:rPr>
                <w:lang w:val="cs"/>
              </w:rPr>
              <w:t>Propylenglykol</w:t>
            </w:r>
            <w:proofErr w:type="spellEnd"/>
          </w:p>
        </w:tc>
        <w:tc>
          <w:tcPr>
            <w:tcW w:w="2500" w:type="pct"/>
            <w:tcBorders>
              <w:top w:val="single" w:sz="4" w:space="0" w:color="000000"/>
              <w:left w:val="single" w:sz="4" w:space="0" w:color="000000"/>
              <w:bottom w:val="single" w:sz="4" w:space="0" w:color="000000"/>
              <w:right w:val="single" w:sz="4" w:space="0" w:color="000000"/>
            </w:tcBorders>
            <w:vAlign w:val="center"/>
          </w:tcPr>
          <w:p w14:paraId="56BB7B0A" w14:textId="1F2D869C" w:rsidR="00F927D9" w:rsidRPr="00F927D9" w:rsidRDefault="00F927D9" w:rsidP="00F927D9">
            <w:pPr>
              <w:jc w:val="left"/>
            </w:pPr>
          </w:p>
        </w:tc>
      </w:tr>
      <w:tr w:rsidR="00F927D9" w:rsidRPr="00F927D9" w14:paraId="4728F840" w14:textId="77777777" w:rsidTr="00F927D9">
        <w:tc>
          <w:tcPr>
            <w:tcW w:w="2500" w:type="pct"/>
            <w:tcBorders>
              <w:top w:val="single" w:sz="4" w:space="0" w:color="000000"/>
              <w:left w:val="single" w:sz="4" w:space="0" w:color="000000"/>
              <w:bottom w:val="single" w:sz="4" w:space="0" w:color="000000"/>
              <w:right w:val="single" w:sz="4" w:space="0" w:color="000000"/>
            </w:tcBorders>
            <w:vAlign w:val="center"/>
          </w:tcPr>
          <w:p w14:paraId="592354E7" w14:textId="773D58D7" w:rsidR="00F927D9" w:rsidRPr="00F927D9" w:rsidRDefault="00F927D9" w:rsidP="00F927D9">
            <w:pPr>
              <w:jc w:val="left"/>
            </w:pPr>
            <w:r>
              <w:rPr>
                <w:lang w:val="cs"/>
              </w:rPr>
              <w:t>Hydroxid sodný</w:t>
            </w:r>
          </w:p>
        </w:tc>
        <w:tc>
          <w:tcPr>
            <w:tcW w:w="2500" w:type="pct"/>
            <w:tcBorders>
              <w:top w:val="single" w:sz="4" w:space="0" w:color="000000"/>
              <w:left w:val="single" w:sz="4" w:space="0" w:color="000000"/>
              <w:bottom w:val="single" w:sz="4" w:space="0" w:color="000000"/>
              <w:right w:val="single" w:sz="4" w:space="0" w:color="000000"/>
            </w:tcBorders>
            <w:vAlign w:val="center"/>
          </w:tcPr>
          <w:p w14:paraId="3B7D0B58" w14:textId="3091E00C" w:rsidR="00F927D9" w:rsidRPr="00F927D9" w:rsidRDefault="00F927D9" w:rsidP="00F927D9">
            <w:pPr>
              <w:jc w:val="left"/>
            </w:pPr>
          </w:p>
        </w:tc>
      </w:tr>
      <w:tr w:rsidR="00F927D9" w:rsidRPr="00F927D9" w14:paraId="6697E2D4" w14:textId="77777777" w:rsidTr="00F927D9">
        <w:tc>
          <w:tcPr>
            <w:tcW w:w="2500" w:type="pct"/>
            <w:tcBorders>
              <w:top w:val="single" w:sz="4" w:space="0" w:color="000000"/>
              <w:left w:val="single" w:sz="4" w:space="0" w:color="000000"/>
              <w:bottom w:val="single" w:sz="4" w:space="0" w:color="000000"/>
              <w:right w:val="single" w:sz="4" w:space="0" w:color="000000"/>
            </w:tcBorders>
            <w:vAlign w:val="center"/>
          </w:tcPr>
          <w:p w14:paraId="09C87B75" w14:textId="078617A9" w:rsidR="00F927D9" w:rsidRPr="00F927D9" w:rsidRDefault="00F927D9" w:rsidP="00F927D9">
            <w:pPr>
              <w:jc w:val="left"/>
            </w:pPr>
            <w:r>
              <w:rPr>
                <w:lang w:val="cs"/>
              </w:rPr>
              <w:t>Vanilin</w:t>
            </w:r>
          </w:p>
        </w:tc>
        <w:tc>
          <w:tcPr>
            <w:tcW w:w="2500" w:type="pct"/>
            <w:tcBorders>
              <w:top w:val="single" w:sz="4" w:space="0" w:color="000000"/>
              <w:left w:val="single" w:sz="4" w:space="0" w:color="000000"/>
              <w:bottom w:val="single" w:sz="4" w:space="0" w:color="000000"/>
              <w:right w:val="single" w:sz="4" w:space="0" w:color="000000"/>
            </w:tcBorders>
            <w:vAlign w:val="center"/>
          </w:tcPr>
          <w:p w14:paraId="6B34E090" w14:textId="674CE9E0" w:rsidR="00F927D9" w:rsidRPr="00F927D9" w:rsidRDefault="00F927D9" w:rsidP="00F927D9">
            <w:pPr>
              <w:jc w:val="left"/>
            </w:pPr>
          </w:p>
        </w:tc>
      </w:tr>
      <w:tr w:rsidR="00F927D9" w:rsidRPr="00F927D9" w14:paraId="2AE49C5E" w14:textId="77777777" w:rsidTr="00F927D9">
        <w:tc>
          <w:tcPr>
            <w:tcW w:w="2500" w:type="pct"/>
            <w:tcBorders>
              <w:top w:val="single" w:sz="4" w:space="0" w:color="000000"/>
              <w:left w:val="single" w:sz="4" w:space="0" w:color="000000"/>
              <w:bottom w:val="single" w:sz="4" w:space="0" w:color="000000"/>
              <w:right w:val="single" w:sz="4" w:space="0" w:color="000000"/>
            </w:tcBorders>
            <w:vAlign w:val="center"/>
          </w:tcPr>
          <w:p w14:paraId="6BE5DC38" w14:textId="3E466312" w:rsidR="00F927D9" w:rsidRPr="00F927D9" w:rsidRDefault="00F927D9" w:rsidP="00F927D9">
            <w:pPr>
              <w:jc w:val="left"/>
            </w:pPr>
            <w:r>
              <w:rPr>
                <w:lang w:val="cs"/>
              </w:rPr>
              <w:t>Čištěná voda</w:t>
            </w:r>
          </w:p>
        </w:tc>
        <w:tc>
          <w:tcPr>
            <w:tcW w:w="2500" w:type="pct"/>
            <w:tcBorders>
              <w:top w:val="single" w:sz="4" w:space="0" w:color="000000"/>
              <w:left w:val="single" w:sz="4" w:space="0" w:color="000000"/>
              <w:bottom w:val="single" w:sz="4" w:space="0" w:color="000000"/>
              <w:right w:val="single" w:sz="4" w:space="0" w:color="000000"/>
            </w:tcBorders>
            <w:vAlign w:val="center"/>
          </w:tcPr>
          <w:p w14:paraId="6C3E3E30" w14:textId="0CB51516" w:rsidR="00F927D9" w:rsidRPr="00F927D9" w:rsidRDefault="00F927D9" w:rsidP="00F927D9">
            <w:pPr>
              <w:jc w:val="left"/>
            </w:pPr>
          </w:p>
        </w:tc>
      </w:tr>
    </w:tbl>
    <w:p w14:paraId="5CCB9221" w14:textId="4F3B2857" w:rsidR="00F927D9" w:rsidRPr="00F927D9" w:rsidRDefault="00F927D9" w:rsidP="00F927D9">
      <w:pPr>
        <w:pStyle w:val="L1"/>
      </w:pPr>
      <w:r>
        <w:rPr>
          <w:lang w:val="cs"/>
        </w:rPr>
        <w:t>Cílové druhy zvířat</w:t>
      </w:r>
    </w:p>
    <w:p w14:paraId="289EA09D" w14:textId="6B058E90" w:rsidR="00F927D9" w:rsidRPr="00F927D9" w:rsidRDefault="00F927D9" w:rsidP="00F927D9">
      <w:r>
        <w:rPr>
          <w:lang w:val="cs"/>
        </w:rPr>
        <w:t>Skot a ovce</w:t>
      </w:r>
    </w:p>
    <w:p w14:paraId="688469DE" w14:textId="0834236E" w:rsidR="00F927D9" w:rsidRPr="00F927D9" w:rsidRDefault="00F927D9" w:rsidP="00F927D9">
      <w:pPr>
        <w:pStyle w:val="L1"/>
      </w:pPr>
      <w:r>
        <w:rPr>
          <w:lang w:val="cs"/>
        </w:rPr>
        <w:t>Indikace pro použití</w:t>
      </w:r>
    </w:p>
    <w:p w14:paraId="37DA0024" w14:textId="660FDECB" w:rsidR="00D209B1" w:rsidRPr="00F927D9" w:rsidRDefault="00D209B1" w:rsidP="00D209B1">
      <w:r>
        <w:rPr>
          <w:lang w:val="cs"/>
        </w:rPr>
        <w:t xml:space="preserve">Léčba infekcí způsobených hlísticemi gastrointestinálního traktu, </w:t>
      </w:r>
      <w:proofErr w:type="spellStart"/>
      <w:r>
        <w:rPr>
          <w:lang w:val="cs"/>
        </w:rPr>
        <w:t>plicnivkami</w:t>
      </w:r>
      <w:proofErr w:type="spellEnd"/>
      <w:r>
        <w:rPr>
          <w:lang w:val="cs"/>
        </w:rPr>
        <w:t xml:space="preserve">, tasemnicemi a dospělci motolic u skotu a ovcí citlivými na </w:t>
      </w:r>
      <w:proofErr w:type="spellStart"/>
      <w:r>
        <w:rPr>
          <w:lang w:val="cs"/>
        </w:rPr>
        <w:t>albendazol</w:t>
      </w:r>
      <w:proofErr w:type="spellEnd"/>
      <w:r>
        <w:rPr>
          <w:lang w:val="cs"/>
        </w:rPr>
        <w:t>.</w:t>
      </w:r>
    </w:p>
    <w:p w14:paraId="41443374" w14:textId="77777777" w:rsidR="00D209B1" w:rsidRPr="00F927D9" w:rsidRDefault="00D209B1" w:rsidP="00D209B1"/>
    <w:p w14:paraId="7076C2D4" w14:textId="77777777" w:rsidR="00D209B1" w:rsidRPr="00F927D9" w:rsidRDefault="00D209B1" w:rsidP="00D209B1">
      <w:r>
        <w:rPr>
          <w:b/>
          <w:bCs/>
          <w:lang w:val="cs"/>
        </w:rPr>
        <w:t xml:space="preserve">Hlístice gastrointestinálního traktu: </w:t>
      </w:r>
      <w:proofErr w:type="spellStart"/>
      <w:r>
        <w:rPr>
          <w:i/>
          <w:iCs/>
          <w:lang w:val="cs"/>
        </w:rPr>
        <w:t>Haemonchus</w:t>
      </w:r>
      <w:proofErr w:type="spellEnd"/>
      <w:r>
        <w:rPr>
          <w:i/>
          <w:iCs/>
          <w:lang w:val="cs"/>
        </w:rPr>
        <w:t xml:space="preserve"> </w:t>
      </w:r>
      <w:proofErr w:type="spellStart"/>
      <w:r w:rsidRPr="00E53A3A">
        <w:rPr>
          <w:iCs/>
          <w:lang w:val="cs"/>
        </w:rPr>
        <w:t>spp</w:t>
      </w:r>
      <w:proofErr w:type="spellEnd"/>
      <w:r w:rsidRPr="00E53A3A">
        <w:rPr>
          <w:iCs/>
          <w:lang w:val="cs"/>
        </w:rPr>
        <w:t>.</w:t>
      </w:r>
      <w:r>
        <w:rPr>
          <w:i/>
          <w:iCs/>
          <w:lang w:val="cs"/>
        </w:rPr>
        <w:t xml:space="preserve">, </w:t>
      </w:r>
      <w:proofErr w:type="spellStart"/>
      <w:r>
        <w:rPr>
          <w:i/>
          <w:iCs/>
          <w:lang w:val="cs"/>
        </w:rPr>
        <w:t>Ostertagia</w:t>
      </w:r>
      <w:proofErr w:type="spellEnd"/>
      <w:r>
        <w:rPr>
          <w:i/>
          <w:iCs/>
          <w:lang w:val="cs"/>
        </w:rPr>
        <w:t xml:space="preserve"> </w:t>
      </w:r>
      <w:proofErr w:type="spellStart"/>
      <w:r w:rsidRPr="00E53A3A">
        <w:rPr>
          <w:iCs/>
          <w:lang w:val="cs"/>
        </w:rPr>
        <w:t>spp</w:t>
      </w:r>
      <w:proofErr w:type="spellEnd"/>
      <w:r w:rsidRPr="00E53A3A">
        <w:rPr>
          <w:iCs/>
          <w:lang w:val="cs"/>
        </w:rPr>
        <w:t>.,</w:t>
      </w:r>
      <w:r>
        <w:rPr>
          <w:i/>
          <w:iCs/>
          <w:lang w:val="cs"/>
        </w:rPr>
        <w:t xml:space="preserve"> </w:t>
      </w:r>
      <w:proofErr w:type="spellStart"/>
      <w:r>
        <w:rPr>
          <w:i/>
          <w:iCs/>
          <w:lang w:val="cs"/>
        </w:rPr>
        <w:t>Trichostrongylus</w:t>
      </w:r>
      <w:proofErr w:type="spellEnd"/>
      <w:r>
        <w:rPr>
          <w:i/>
          <w:iCs/>
          <w:lang w:val="cs"/>
        </w:rPr>
        <w:t xml:space="preserve"> </w:t>
      </w:r>
      <w:proofErr w:type="spellStart"/>
      <w:r w:rsidRPr="00E53A3A">
        <w:rPr>
          <w:iCs/>
          <w:lang w:val="cs"/>
        </w:rPr>
        <w:t>spp</w:t>
      </w:r>
      <w:proofErr w:type="spellEnd"/>
      <w:r w:rsidRPr="00E53A3A">
        <w:rPr>
          <w:iCs/>
          <w:lang w:val="cs"/>
        </w:rPr>
        <w:t>.</w:t>
      </w:r>
      <w:r>
        <w:rPr>
          <w:i/>
          <w:iCs/>
          <w:lang w:val="cs"/>
        </w:rPr>
        <w:t xml:space="preserve">, </w:t>
      </w:r>
      <w:proofErr w:type="spellStart"/>
      <w:r>
        <w:rPr>
          <w:i/>
          <w:iCs/>
          <w:lang w:val="cs"/>
        </w:rPr>
        <w:t>Bunostomum</w:t>
      </w:r>
      <w:proofErr w:type="spellEnd"/>
      <w:r>
        <w:rPr>
          <w:i/>
          <w:iCs/>
          <w:lang w:val="cs"/>
        </w:rPr>
        <w:t xml:space="preserve"> </w:t>
      </w:r>
      <w:proofErr w:type="spellStart"/>
      <w:r w:rsidRPr="00E53A3A">
        <w:rPr>
          <w:iCs/>
          <w:lang w:val="cs"/>
        </w:rPr>
        <w:t>spp</w:t>
      </w:r>
      <w:proofErr w:type="spellEnd"/>
      <w:r w:rsidRPr="00E53A3A">
        <w:rPr>
          <w:iCs/>
          <w:lang w:val="cs"/>
        </w:rPr>
        <w:t>.,</w:t>
      </w:r>
      <w:r>
        <w:rPr>
          <w:i/>
          <w:iCs/>
          <w:lang w:val="cs"/>
        </w:rPr>
        <w:t xml:space="preserve"> </w:t>
      </w:r>
      <w:proofErr w:type="spellStart"/>
      <w:r>
        <w:rPr>
          <w:i/>
          <w:iCs/>
          <w:lang w:val="cs"/>
        </w:rPr>
        <w:t>Cooperia</w:t>
      </w:r>
      <w:proofErr w:type="spellEnd"/>
      <w:r>
        <w:rPr>
          <w:i/>
          <w:iCs/>
          <w:lang w:val="cs"/>
        </w:rPr>
        <w:t xml:space="preserve"> </w:t>
      </w:r>
      <w:proofErr w:type="spellStart"/>
      <w:r w:rsidRPr="00E53A3A">
        <w:rPr>
          <w:iCs/>
          <w:lang w:val="cs"/>
        </w:rPr>
        <w:t>spp</w:t>
      </w:r>
      <w:proofErr w:type="spellEnd"/>
      <w:r w:rsidRPr="00E53A3A">
        <w:rPr>
          <w:iCs/>
          <w:lang w:val="cs"/>
        </w:rPr>
        <w:t>.,</w:t>
      </w:r>
      <w:r>
        <w:rPr>
          <w:i/>
          <w:iCs/>
          <w:lang w:val="cs"/>
        </w:rPr>
        <w:t xml:space="preserve"> </w:t>
      </w:r>
      <w:proofErr w:type="spellStart"/>
      <w:r>
        <w:rPr>
          <w:i/>
          <w:iCs/>
          <w:lang w:val="cs"/>
        </w:rPr>
        <w:t>Nematodirus</w:t>
      </w:r>
      <w:proofErr w:type="spellEnd"/>
      <w:r>
        <w:rPr>
          <w:i/>
          <w:iCs/>
          <w:lang w:val="cs"/>
        </w:rPr>
        <w:t xml:space="preserve"> </w:t>
      </w:r>
      <w:proofErr w:type="spellStart"/>
      <w:r w:rsidRPr="00E53A3A">
        <w:rPr>
          <w:iCs/>
          <w:lang w:val="cs"/>
        </w:rPr>
        <w:t>spp</w:t>
      </w:r>
      <w:proofErr w:type="spellEnd"/>
      <w:r w:rsidRPr="00E53A3A">
        <w:rPr>
          <w:iCs/>
          <w:lang w:val="cs"/>
        </w:rPr>
        <w:t>.,</w:t>
      </w:r>
      <w:r>
        <w:rPr>
          <w:i/>
          <w:iCs/>
          <w:lang w:val="cs"/>
        </w:rPr>
        <w:t xml:space="preserve"> </w:t>
      </w:r>
      <w:proofErr w:type="spellStart"/>
      <w:r>
        <w:rPr>
          <w:i/>
          <w:iCs/>
          <w:lang w:val="cs"/>
        </w:rPr>
        <w:t>Chabertia</w:t>
      </w:r>
      <w:proofErr w:type="spellEnd"/>
      <w:r>
        <w:rPr>
          <w:i/>
          <w:iCs/>
          <w:lang w:val="cs"/>
        </w:rPr>
        <w:t xml:space="preserve"> </w:t>
      </w:r>
      <w:proofErr w:type="spellStart"/>
      <w:r w:rsidRPr="00E53A3A">
        <w:rPr>
          <w:iCs/>
          <w:lang w:val="cs"/>
        </w:rPr>
        <w:t>spp</w:t>
      </w:r>
      <w:proofErr w:type="spellEnd"/>
      <w:r w:rsidRPr="00E53A3A">
        <w:rPr>
          <w:iCs/>
          <w:lang w:val="cs"/>
        </w:rPr>
        <w:t>.,</w:t>
      </w:r>
      <w:r>
        <w:rPr>
          <w:i/>
          <w:iCs/>
          <w:lang w:val="cs"/>
        </w:rPr>
        <w:t xml:space="preserve"> </w:t>
      </w:r>
      <w:proofErr w:type="spellStart"/>
      <w:r>
        <w:rPr>
          <w:i/>
          <w:iCs/>
          <w:lang w:val="cs"/>
        </w:rPr>
        <w:t>Oesophagostomum</w:t>
      </w:r>
      <w:proofErr w:type="spellEnd"/>
      <w:r>
        <w:rPr>
          <w:i/>
          <w:iCs/>
          <w:lang w:val="cs"/>
        </w:rPr>
        <w:t xml:space="preserve"> </w:t>
      </w:r>
      <w:proofErr w:type="spellStart"/>
      <w:r w:rsidRPr="00E53A3A">
        <w:rPr>
          <w:iCs/>
          <w:lang w:val="cs"/>
        </w:rPr>
        <w:t>spp</w:t>
      </w:r>
      <w:proofErr w:type="spellEnd"/>
      <w:r w:rsidRPr="00E53A3A">
        <w:rPr>
          <w:iCs/>
          <w:lang w:val="cs"/>
        </w:rPr>
        <w:t>.</w:t>
      </w:r>
      <w:r>
        <w:rPr>
          <w:i/>
          <w:iCs/>
          <w:lang w:val="cs"/>
        </w:rPr>
        <w:t xml:space="preserve">, </w:t>
      </w:r>
      <w:proofErr w:type="spellStart"/>
      <w:r>
        <w:rPr>
          <w:i/>
          <w:iCs/>
          <w:lang w:val="cs"/>
        </w:rPr>
        <w:t>Toxocara</w:t>
      </w:r>
      <w:proofErr w:type="spellEnd"/>
      <w:r>
        <w:rPr>
          <w:i/>
          <w:iCs/>
          <w:lang w:val="cs"/>
        </w:rPr>
        <w:t xml:space="preserve"> </w:t>
      </w:r>
      <w:proofErr w:type="spellStart"/>
      <w:r w:rsidRPr="00E53A3A">
        <w:rPr>
          <w:iCs/>
          <w:lang w:val="cs"/>
        </w:rPr>
        <w:t>spp</w:t>
      </w:r>
      <w:proofErr w:type="spellEnd"/>
      <w:r>
        <w:rPr>
          <w:i/>
          <w:iCs/>
          <w:lang w:val="cs"/>
        </w:rPr>
        <w:t>.</w:t>
      </w:r>
    </w:p>
    <w:p w14:paraId="171D291E" w14:textId="77777777" w:rsidR="00D209B1" w:rsidRPr="00F927D9" w:rsidRDefault="00D209B1" w:rsidP="00D209B1">
      <w:proofErr w:type="spellStart"/>
      <w:r>
        <w:rPr>
          <w:b/>
          <w:bCs/>
          <w:lang w:val="cs"/>
        </w:rPr>
        <w:t>Plicnivky</w:t>
      </w:r>
      <w:proofErr w:type="spellEnd"/>
      <w:r>
        <w:rPr>
          <w:b/>
          <w:bCs/>
          <w:lang w:val="cs"/>
        </w:rPr>
        <w:t>:</w:t>
      </w:r>
      <w:r>
        <w:rPr>
          <w:lang w:val="cs"/>
        </w:rPr>
        <w:t xml:space="preserve"> </w:t>
      </w:r>
      <w:proofErr w:type="spellStart"/>
      <w:r>
        <w:rPr>
          <w:i/>
          <w:iCs/>
          <w:lang w:val="cs"/>
        </w:rPr>
        <w:t>Dictyocaulus</w:t>
      </w:r>
      <w:proofErr w:type="spellEnd"/>
      <w:r>
        <w:rPr>
          <w:i/>
          <w:iCs/>
          <w:lang w:val="cs"/>
        </w:rPr>
        <w:t xml:space="preserve"> </w:t>
      </w:r>
      <w:proofErr w:type="spellStart"/>
      <w:r w:rsidRPr="00E53A3A">
        <w:rPr>
          <w:iCs/>
          <w:lang w:val="cs"/>
        </w:rPr>
        <w:t>spp</w:t>
      </w:r>
      <w:proofErr w:type="spellEnd"/>
      <w:r w:rsidRPr="00E53A3A">
        <w:rPr>
          <w:iCs/>
          <w:lang w:val="cs"/>
        </w:rPr>
        <w:t>.</w:t>
      </w:r>
    </w:p>
    <w:p w14:paraId="54BF1F2A" w14:textId="77777777" w:rsidR="00D209B1" w:rsidRPr="00D30D9E" w:rsidRDefault="00D209B1" w:rsidP="00D209B1">
      <w:r>
        <w:rPr>
          <w:b/>
          <w:bCs/>
          <w:lang w:val="cs"/>
        </w:rPr>
        <w:t>Tasemnice:</w:t>
      </w:r>
      <w:r>
        <w:rPr>
          <w:lang w:val="cs"/>
        </w:rPr>
        <w:t xml:space="preserve"> </w:t>
      </w:r>
      <w:proofErr w:type="spellStart"/>
      <w:r>
        <w:rPr>
          <w:i/>
          <w:iCs/>
          <w:lang w:val="cs"/>
        </w:rPr>
        <w:t>Moniezia</w:t>
      </w:r>
      <w:proofErr w:type="spellEnd"/>
      <w:r>
        <w:rPr>
          <w:i/>
          <w:iCs/>
          <w:lang w:val="cs"/>
        </w:rPr>
        <w:t xml:space="preserve"> </w:t>
      </w:r>
      <w:proofErr w:type="spellStart"/>
      <w:r w:rsidRPr="00E53A3A">
        <w:rPr>
          <w:iCs/>
          <w:lang w:val="cs"/>
        </w:rPr>
        <w:t>spp</w:t>
      </w:r>
      <w:proofErr w:type="spellEnd"/>
      <w:r w:rsidRPr="00E53A3A">
        <w:rPr>
          <w:iCs/>
          <w:lang w:val="cs"/>
        </w:rPr>
        <w:t>.</w:t>
      </w:r>
    </w:p>
    <w:p w14:paraId="431B8219" w14:textId="543A4726" w:rsidR="00D209B1" w:rsidRPr="00A65761" w:rsidRDefault="00D209B1" w:rsidP="00D209B1">
      <w:r>
        <w:rPr>
          <w:b/>
          <w:bCs/>
          <w:lang w:val="cs"/>
        </w:rPr>
        <w:t>Dospělci motolic:</w:t>
      </w:r>
      <w:r>
        <w:rPr>
          <w:lang w:val="cs"/>
        </w:rPr>
        <w:t xml:space="preserve"> </w:t>
      </w:r>
      <w:proofErr w:type="spellStart"/>
      <w:r>
        <w:rPr>
          <w:i/>
          <w:iCs/>
          <w:lang w:val="cs"/>
        </w:rPr>
        <w:t>Fasciola</w:t>
      </w:r>
      <w:proofErr w:type="spellEnd"/>
      <w:r>
        <w:rPr>
          <w:i/>
          <w:iCs/>
          <w:lang w:val="cs"/>
        </w:rPr>
        <w:t xml:space="preserve"> </w:t>
      </w:r>
      <w:proofErr w:type="spellStart"/>
      <w:r>
        <w:rPr>
          <w:i/>
          <w:iCs/>
          <w:lang w:val="cs"/>
        </w:rPr>
        <w:t>hepatica</w:t>
      </w:r>
      <w:proofErr w:type="spellEnd"/>
      <w:r>
        <w:rPr>
          <w:i/>
          <w:iCs/>
          <w:lang w:val="cs"/>
        </w:rPr>
        <w:t xml:space="preserve">, </w:t>
      </w:r>
      <w:proofErr w:type="spellStart"/>
      <w:r>
        <w:rPr>
          <w:i/>
          <w:iCs/>
          <w:lang w:val="cs"/>
        </w:rPr>
        <w:t>Dicrocoelium</w:t>
      </w:r>
      <w:proofErr w:type="spellEnd"/>
      <w:r>
        <w:rPr>
          <w:i/>
          <w:iCs/>
          <w:lang w:val="cs"/>
        </w:rPr>
        <w:t xml:space="preserve"> </w:t>
      </w:r>
      <w:proofErr w:type="spellStart"/>
      <w:r>
        <w:rPr>
          <w:i/>
          <w:iCs/>
          <w:lang w:val="cs"/>
        </w:rPr>
        <w:t>dendriticum</w:t>
      </w:r>
      <w:proofErr w:type="spellEnd"/>
      <w:r>
        <w:rPr>
          <w:i/>
          <w:iCs/>
          <w:lang w:val="cs"/>
        </w:rPr>
        <w:t>.</w:t>
      </w:r>
    </w:p>
    <w:p w14:paraId="21196B9E" w14:textId="719D45B7" w:rsidR="00F927D9" w:rsidRPr="00F927D9" w:rsidRDefault="00F927D9" w:rsidP="00F927D9">
      <w:pPr>
        <w:pStyle w:val="L1"/>
      </w:pPr>
      <w:r>
        <w:rPr>
          <w:lang w:val="cs"/>
        </w:rPr>
        <w:t>Kontraindikace</w:t>
      </w:r>
    </w:p>
    <w:p w14:paraId="67425261" w14:textId="39886A0D" w:rsidR="00F927D9" w:rsidRPr="00F927D9" w:rsidRDefault="00F927D9" w:rsidP="00F927D9">
      <w:r>
        <w:rPr>
          <w:lang w:val="cs"/>
        </w:rPr>
        <w:t>Nepoužívat v případech přecitlivělosti na léčivou látku nebo na některou z pomocných látek.</w:t>
      </w:r>
    </w:p>
    <w:p w14:paraId="765F461A" w14:textId="4E02ABED" w:rsidR="00F927D9" w:rsidRPr="00F927D9" w:rsidRDefault="00F927D9" w:rsidP="00F927D9">
      <w:r>
        <w:rPr>
          <w:lang w:val="cs"/>
        </w:rPr>
        <w:t xml:space="preserve">Nepoužívat v případech známe </w:t>
      </w:r>
      <w:r w:rsidR="00D209B1">
        <w:rPr>
          <w:lang w:val="cs"/>
        </w:rPr>
        <w:t xml:space="preserve">rezistence </w:t>
      </w:r>
      <w:r>
        <w:rPr>
          <w:lang w:val="cs"/>
        </w:rPr>
        <w:t xml:space="preserve">na </w:t>
      </w:r>
      <w:proofErr w:type="spellStart"/>
      <w:r>
        <w:rPr>
          <w:lang w:val="cs"/>
        </w:rPr>
        <w:t>albendazol</w:t>
      </w:r>
      <w:proofErr w:type="spellEnd"/>
      <w:r>
        <w:rPr>
          <w:lang w:val="cs"/>
        </w:rPr>
        <w:t xml:space="preserve"> nebo jiné </w:t>
      </w:r>
      <w:proofErr w:type="spellStart"/>
      <w:r>
        <w:rPr>
          <w:lang w:val="cs"/>
        </w:rPr>
        <w:t>benzimidazoly</w:t>
      </w:r>
      <w:proofErr w:type="spellEnd"/>
      <w:r>
        <w:rPr>
          <w:lang w:val="cs"/>
        </w:rPr>
        <w:t>.</w:t>
      </w:r>
    </w:p>
    <w:p w14:paraId="70A0DD0E" w14:textId="580D3EAB" w:rsidR="00F927D9" w:rsidRPr="00F927D9" w:rsidRDefault="00F927D9" w:rsidP="00F927D9">
      <w:r>
        <w:rPr>
          <w:lang w:val="cs"/>
        </w:rPr>
        <w:t xml:space="preserve">Nepoužívat při akutní fasciolóze způsobené nezralými formami </w:t>
      </w:r>
      <w:proofErr w:type="spellStart"/>
      <w:r>
        <w:rPr>
          <w:i/>
          <w:iCs/>
          <w:lang w:val="cs"/>
        </w:rPr>
        <w:t>Fasciola</w:t>
      </w:r>
      <w:proofErr w:type="spellEnd"/>
      <w:r>
        <w:rPr>
          <w:i/>
          <w:iCs/>
          <w:lang w:val="cs"/>
        </w:rPr>
        <w:t xml:space="preserve"> </w:t>
      </w:r>
      <w:proofErr w:type="spellStart"/>
      <w:r>
        <w:rPr>
          <w:i/>
          <w:iCs/>
          <w:lang w:val="cs"/>
        </w:rPr>
        <w:t>hepatica</w:t>
      </w:r>
      <w:proofErr w:type="spellEnd"/>
      <w:r>
        <w:rPr>
          <w:i/>
          <w:iCs/>
          <w:lang w:val="cs"/>
        </w:rPr>
        <w:t>.</w:t>
      </w:r>
    </w:p>
    <w:p w14:paraId="4184256C" w14:textId="69F5766A" w:rsidR="00F927D9" w:rsidRPr="00F927D9" w:rsidRDefault="00F927D9" w:rsidP="00F927D9">
      <w:pPr>
        <w:pStyle w:val="L1"/>
      </w:pPr>
      <w:r>
        <w:rPr>
          <w:lang w:val="cs"/>
        </w:rPr>
        <w:lastRenderedPageBreak/>
        <w:t>Zvláštní upozornění</w:t>
      </w:r>
    </w:p>
    <w:p w14:paraId="059C6B04" w14:textId="08CCC117" w:rsidR="00F927D9" w:rsidRPr="00F927D9" w:rsidRDefault="00F927D9" w:rsidP="00F927D9">
      <w:pPr>
        <w:keepNext/>
        <w:keepLines/>
      </w:pPr>
      <w:r>
        <w:rPr>
          <w:u w:val="single"/>
          <w:lang w:val="cs"/>
        </w:rPr>
        <w:t>Zvláštní upozornění pro každý cílový druh:</w:t>
      </w:r>
    </w:p>
    <w:p w14:paraId="5CC23691" w14:textId="78710A79" w:rsidR="00F927D9" w:rsidRPr="00F927D9" w:rsidRDefault="00F927D9" w:rsidP="00F927D9">
      <w:r>
        <w:rPr>
          <w:lang w:val="cs"/>
        </w:rPr>
        <w:t xml:space="preserve">Rezistence na </w:t>
      </w:r>
      <w:proofErr w:type="spellStart"/>
      <w:r>
        <w:rPr>
          <w:lang w:val="cs"/>
        </w:rPr>
        <w:t>benzimidazoly</w:t>
      </w:r>
      <w:proofErr w:type="spellEnd"/>
      <w:r>
        <w:rPr>
          <w:lang w:val="cs"/>
        </w:rPr>
        <w:t xml:space="preserve"> (mezi něž patří </w:t>
      </w:r>
      <w:proofErr w:type="spellStart"/>
      <w:r>
        <w:rPr>
          <w:lang w:val="cs"/>
        </w:rPr>
        <w:t>albendazol</w:t>
      </w:r>
      <w:proofErr w:type="spellEnd"/>
      <w:r>
        <w:rPr>
          <w:lang w:val="cs"/>
        </w:rPr>
        <w:t xml:space="preserve">) byla u malých přežvýkavců hlášena v řadě zemí, včetně EU, u druhů </w:t>
      </w:r>
      <w:proofErr w:type="spellStart"/>
      <w:r>
        <w:rPr>
          <w:i/>
          <w:iCs/>
          <w:lang w:val="cs"/>
        </w:rPr>
        <w:t>Teladorsagia</w:t>
      </w:r>
      <w:proofErr w:type="spellEnd"/>
      <w:r>
        <w:rPr>
          <w:i/>
          <w:iCs/>
          <w:lang w:val="cs"/>
        </w:rPr>
        <w:t xml:space="preserve">, </w:t>
      </w:r>
      <w:proofErr w:type="spellStart"/>
      <w:r>
        <w:rPr>
          <w:i/>
          <w:iCs/>
          <w:lang w:val="cs"/>
        </w:rPr>
        <w:t>Haemonchus</w:t>
      </w:r>
      <w:proofErr w:type="spellEnd"/>
      <w:r>
        <w:rPr>
          <w:i/>
          <w:iCs/>
          <w:lang w:val="cs"/>
        </w:rPr>
        <w:t xml:space="preserve">, </w:t>
      </w:r>
      <w:proofErr w:type="spellStart"/>
      <w:r>
        <w:rPr>
          <w:i/>
          <w:iCs/>
          <w:lang w:val="cs"/>
        </w:rPr>
        <w:t>Cooperia</w:t>
      </w:r>
      <w:proofErr w:type="spellEnd"/>
      <w:r>
        <w:rPr>
          <w:lang w:val="cs"/>
        </w:rPr>
        <w:t xml:space="preserve"> a </w:t>
      </w:r>
      <w:proofErr w:type="spellStart"/>
      <w:r>
        <w:rPr>
          <w:i/>
          <w:iCs/>
          <w:lang w:val="cs"/>
        </w:rPr>
        <w:t>Trichostrongylus</w:t>
      </w:r>
      <w:proofErr w:type="spellEnd"/>
      <w:r>
        <w:rPr>
          <w:lang w:val="cs"/>
        </w:rPr>
        <w:t xml:space="preserve">. Proto by se při užívání tohoto veterinárního léčivého přípravku mělo vycházet z místních </w:t>
      </w:r>
      <w:proofErr w:type="spellStart"/>
      <w:r>
        <w:rPr>
          <w:lang w:val="cs"/>
        </w:rPr>
        <w:t>epizootologických</w:t>
      </w:r>
      <w:proofErr w:type="spellEnd"/>
      <w:r>
        <w:rPr>
          <w:lang w:val="cs"/>
        </w:rPr>
        <w:t xml:space="preserve"> informací o citlivosti hlístic (na úrovni příslušného regionu nebo zemědělského podniku) a doporučení, jak zabránit další selekci rezistence k anthelmintikům.</w:t>
      </w:r>
    </w:p>
    <w:p w14:paraId="21B448C5" w14:textId="23ABAB23" w:rsidR="00F927D9" w:rsidRPr="00F927D9" w:rsidRDefault="00F927D9" w:rsidP="00F927D9"/>
    <w:p w14:paraId="1C587D38" w14:textId="6A74834A" w:rsidR="00F927D9" w:rsidRPr="00F927D9" w:rsidRDefault="00F927D9" w:rsidP="00F927D9">
      <w:r>
        <w:rPr>
          <w:lang w:val="cs"/>
        </w:rPr>
        <w:t>Intenzivní či nevhodné užívání anthelmintik může vést k nárůstu rezistence. Ke snížení tohoto rizika je třeba dávkovací programy konzultovat s veterinárním lékařem.</w:t>
      </w:r>
    </w:p>
    <w:p w14:paraId="09C8840C" w14:textId="6F3F8E74" w:rsidR="00F927D9" w:rsidRPr="00F927D9" w:rsidRDefault="00F927D9" w:rsidP="00F927D9"/>
    <w:p w14:paraId="6C7E6466" w14:textId="7448DE91" w:rsidR="00F927D9" w:rsidRPr="00F927D9" w:rsidRDefault="00F927D9" w:rsidP="00F927D9">
      <w:r>
        <w:rPr>
          <w:lang w:val="cs"/>
        </w:rPr>
        <w:t>Je třeba se vyhnout následujícím postupům, které zvyšují riziko rozvoje rezistence a v konečném důsledku mohou vést k neúčinné léčbě:</w:t>
      </w:r>
    </w:p>
    <w:p w14:paraId="47DE850E" w14:textId="578A8434" w:rsidR="00F927D9" w:rsidRPr="00F927D9" w:rsidRDefault="00F927D9" w:rsidP="00885C36">
      <w:pPr>
        <w:numPr>
          <w:ilvl w:val="0"/>
          <w:numId w:val="10"/>
        </w:numPr>
        <w:ind w:left="567" w:hanging="273"/>
      </w:pPr>
      <w:r>
        <w:rPr>
          <w:lang w:val="cs"/>
        </w:rPr>
        <w:t xml:space="preserve">Dlouhodobě příliš časté a opakované používání anthelmintik ze stejné </w:t>
      </w:r>
      <w:r w:rsidR="00D209B1">
        <w:rPr>
          <w:lang w:val="cs"/>
        </w:rPr>
        <w:t>skupiny</w:t>
      </w:r>
      <w:r>
        <w:rPr>
          <w:lang w:val="cs"/>
        </w:rPr>
        <w:t>.</w:t>
      </w:r>
    </w:p>
    <w:p w14:paraId="3EA3486C" w14:textId="55851786" w:rsidR="00F927D9" w:rsidRPr="00F927D9" w:rsidRDefault="00F927D9" w:rsidP="00885C36">
      <w:pPr>
        <w:numPr>
          <w:ilvl w:val="0"/>
          <w:numId w:val="10"/>
        </w:numPr>
        <w:ind w:left="567" w:hanging="273"/>
      </w:pPr>
      <w:proofErr w:type="spellStart"/>
      <w:r>
        <w:rPr>
          <w:lang w:val="cs"/>
        </w:rPr>
        <w:t>Poddávkování</w:t>
      </w:r>
      <w:proofErr w:type="spellEnd"/>
      <w:r>
        <w:rPr>
          <w:lang w:val="cs"/>
        </w:rPr>
        <w:t xml:space="preserve"> z důvodu nesprávného odhadu živé hmotnosti, nesprávného podání veterinárního léčivého přípravku či nedostatečné kalibrace dávkovacího zařízení (pokud se používá).</w:t>
      </w:r>
    </w:p>
    <w:p w14:paraId="191E2503" w14:textId="4607CE7E" w:rsidR="00F927D9" w:rsidRPr="00F927D9" w:rsidRDefault="00F927D9" w:rsidP="00F927D9"/>
    <w:p w14:paraId="48613F21" w14:textId="1AC492B4" w:rsidR="00D209B1" w:rsidRPr="009629B8" w:rsidRDefault="00D209B1" w:rsidP="00D209B1">
      <w:r>
        <w:rPr>
          <w:lang w:val="cs"/>
        </w:rPr>
        <w:t>Podezření na klinické případy rezistence vůči anthelmintikům by mělo být dále vyšetřeno pomocí vhodných testů (např. test redukce počtu vajíček v trusu (FECRT)). Pokud výsledky testu(ů) významně ukazují na rezistenci vůči určitému anthelmintiku, mělo by být použito anthelmintikum patřící do jiné farmakologické skupiny a s jiným mechanizmem účinku.</w:t>
      </w:r>
    </w:p>
    <w:p w14:paraId="7AA88364" w14:textId="1A4B40BD" w:rsidR="00F927D9" w:rsidRPr="00F927D9" w:rsidRDefault="00F927D9" w:rsidP="00F927D9"/>
    <w:p w14:paraId="2DC59854" w14:textId="53FF56FE" w:rsidR="00F927D9" w:rsidRPr="00F927D9" w:rsidRDefault="00F927D9" w:rsidP="00F927D9">
      <w:pPr>
        <w:keepNext/>
        <w:keepLines/>
      </w:pPr>
      <w:r>
        <w:rPr>
          <w:u w:val="single"/>
          <w:lang w:val="cs"/>
        </w:rPr>
        <w:t>Zvláštní opatření pro bezpečné použití u cílových druhů zvířat</w:t>
      </w:r>
      <w:r>
        <w:rPr>
          <w:lang w:val="cs"/>
        </w:rPr>
        <w:t>:</w:t>
      </w:r>
    </w:p>
    <w:p w14:paraId="380EAB7C" w14:textId="77777777" w:rsidR="00F927D9" w:rsidRDefault="00F927D9" w:rsidP="00F927D9">
      <w:r>
        <w:rPr>
          <w:lang w:val="cs"/>
        </w:rPr>
        <w:t>Při podávání je třeba dbát na to, aby nedošlo k poškození faryngální oblasti, a to zejména u ovcí.</w:t>
      </w:r>
    </w:p>
    <w:p w14:paraId="107191E1" w14:textId="1CCB231C" w:rsidR="00F927D9" w:rsidRPr="00F927D9" w:rsidRDefault="00F927D9" w:rsidP="00F927D9">
      <w:r>
        <w:rPr>
          <w:lang w:val="cs"/>
        </w:rPr>
        <w:t>Zvířata z jedné skupiny by měla být ošetřena současně.</w:t>
      </w:r>
    </w:p>
    <w:p w14:paraId="6FF62387" w14:textId="2F0A86C1" w:rsidR="00F927D9" w:rsidRPr="00F927D9" w:rsidRDefault="00F927D9" w:rsidP="00F927D9"/>
    <w:p w14:paraId="50BDD420" w14:textId="7E4814F5" w:rsidR="00F927D9" w:rsidRPr="00F927D9" w:rsidRDefault="00F927D9" w:rsidP="00F927D9">
      <w:pPr>
        <w:keepNext/>
        <w:keepLines/>
      </w:pPr>
      <w:r>
        <w:rPr>
          <w:u w:val="single"/>
          <w:lang w:val="cs"/>
        </w:rPr>
        <w:t xml:space="preserve">Zvláštní opatření </w:t>
      </w:r>
      <w:r w:rsidR="007D73B6">
        <w:rPr>
          <w:u w:val="single"/>
          <w:lang w:val="cs"/>
        </w:rPr>
        <w:t>pro osobu</w:t>
      </w:r>
      <w:r>
        <w:rPr>
          <w:u w:val="single"/>
          <w:lang w:val="cs"/>
        </w:rPr>
        <w:t>, kter</w:t>
      </w:r>
      <w:r w:rsidR="007D73B6">
        <w:rPr>
          <w:u w:val="single"/>
          <w:lang w:val="cs"/>
        </w:rPr>
        <w:t>á</w:t>
      </w:r>
      <w:r>
        <w:rPr>
          <w:u w:val="single"/>
          <w:lang w:val="cs"/>
        </w:rPr>
        <w:t xml:space="preserve"> podáv</w:t>
      </w:r>
      <w:r w:rsidR="007D73B6">
        <w:rPr>
          <w:u w:val="single"/>
          <w:lang w:val="cs"/>
        </w:rPr>
        <w:t>á</w:t>
      </w:r>
      <w:r>
        <w:rPr>
          <w:u w:val="single"/>
          <w:lang w:val="cs"/>
        </w:rPr>
        <w:t xml:space="preserve"> veterinární léčivý přípravek zvířatům</w:t>
      </w:r>
      <w:r w:rsidR="007D73B6">
        <w:rPr>
          <w:u w:val="single"/>
          <w:lang w:val="cs"/>
        </w:rPr>
        <w:t>:</w:t>
      </w:r>
    </w:p>
    <w:p w14:paraId="1D7FA0A0" w14:textId="5444A0F3" w:rsidR="00F927D9" w:rsidRPr="00F927D9" w:rsidRDefault="00F927D9" w:rsidP="00F927D9">
      <w:r>
        <w:rPr>
          <w:lang w:val="cs"/>
        </w:rPr>
        <w:t>Po použití si umyjte ruce.</w:t>
      </w:r>
    </w:p>
    <w:p w14:paraId="4441DB2A" w14:textId="67DF689C" w:rsidR="00F927D9" w:rsidRPr="00F927D9" w:rsidRDefault="00F927D9" w:rsidP="00F927D9">
      <w:r>
        <w:rPr>
          <w:lang w:val="cs"/>
        </w:rPr>
        <w:t>Zabraňte kontaktu veterinárního léčivého přípravku s pokožkou a očima.</w:t>
      </w:r>
    </w:p>
    <w:p w14:paraId="2D81A736" w14:textId="00BD1CD1" w:rsidR="00F927D9" w:rsidRPr="00F927D9" w:rsidRDefault="00F927D9" w:rsidP="00F927D9">
      <w:r>
        <w:rPr>
          <w:lang w:val="cs"/>
        </w:rPr>
        <w:t>Při podávání veterinárního léčivého přípravku používejte vhodný ochranný oděv včetně nepropustných gumových rukavic.</w:t>
      </w:r>
    </w:p>
    <w:p w14:paraId="61F88AFF" w14:textId="279E46EF" w:rsidR="00F927D9" w:rsidRPr="00F927D9" w:rsidRDefault="00F927D9" w:rsidP="00F927D9">
      <w:r>
        <w:rPr>
          <w:lang w:val="cs"/>
        </w:rPr>
        <w:t xml:space="preserve">Při náhodném kontaktu s očima je důkladně vypláchněte tekoucí vodou. Pokud podráždění </w:t>
      </w:r>
      <w:r w:rsidR="007D73B6">
        <w:rPr>
          <w:lang w:val="cs"/>
        </w:rPr>
        <w:t>přetrvává</w:t>
      </w:r>
      <w:r>
        <w:rPr>
          <w:lang w:val="cs"/>
        </w:rPr>
        <w:t>, vyhledejte ihned lékařskou pomoc a ukažte příbalovou informaci nebo etiketu</w:t>
      </w:r>
      <w:r w:rsidR="007D73B6" w:rsidRPr="007D73B6">
        <w:rPr>
          <w:lang w:val="cs"/>
        </w:rPr>
        <w:t xml:space="preserve"> </w:t>
      </w:r>
      <w:r w:rsidR="007D73B6">
        <w:rPr>
          <w:lang w:val="cs"/>
        </w:rPr>
        <w:t>praktickému lékaři</w:t>
      </w:r>
      <w:r>
        <w:rPr>
          <w:lang w:val="cs"/>
        </w:rPr>
        <w:t>.</w:t>
      </w:r>
    </w:p>
    <w:p w14:paraId="16F94450" w14:textId="63312CDE" w:rsidR="00F927D9" w:rsidRPr="00F927D9" w:rsidRDefault="00F927D9" w:rsidP="00F927D9">
      <w:r>
        <w:rPr>
          <w:lang w:val="cs"/>
        </w:rPr>
        <w:t xml:space="preserve">Při náhodném kontaktu s pokožkou omyjte postiženou oblast vodou a mýdlem. Pokud podráždění </w:t>
      </w:r>
      <w:r w:rsidR="007B27F1">
        <w:rPr>
          <w:lang w:val="cs"/>
        </w:rPr>
        <w:t>přetrvává</w:t>
      </w:r>
      <w:r>
        <w:rPr>
          <w:lang w:val="cs"/>
        </w:rPr>
        <w:t>, vyhledejte ihned lékařskou pomoc a ukažte příbalovou informaci nebo etiketu</w:t>
      </w:r>
      <w:r w:rsidR="007B27F1" w:rsidRPr="007B27F1">
        <w:rPr>
          <w:lang w:val="cs"/>
        </w:rPr>
        <w:t xml:space="preserve"> </w:t>
      </w:r>
      <w:r w:rsidR="007B27F1">
        <w:rPr>
          <w:lang w:val="cs"/>
        </w:rPr>
        <w:t>praktickému lékaři</w:t>
      </w:r>
      <w:r>
        <w:rPr>
          <w:lang w:val="cs"/>
        </w:rPr>
        <w:t>.</w:t>
      </w:r>
    </w:p>
    <w:p w14:paraId="73BE6536" w14:textId="38C80740" w:rsidR="00F927D9" w:rsidRPr="00F927D9" w:rsidRDefault="00F927D9" w:rsidP="00F927D9">
      <w:r>
        <w:rPr>
          <w:lang w:val="cs"/>
        </w:rPr>
        <w:t>Veterinární léčivý přípravek by neměly podávat těhotné ženy.</w:t>
      </w:r>
    </w:p>
    <w:p w14:paraId="6A3DB2A3" w14:textId="6CCAEB9A" w:rsidR="00F927D9" w:rsidRPr="00F927D9" w:rsidRDefault="00F927D9" w:rsidP="00F927D9">
      <w:r>
        <w:rPr>
          <w:lang w:val="cs"/>
        </w:rPr>
        <w:t xml:space="preserve">Lidé se známou přecitlivělostí na </w:t>
      </w:r>
      <w:proofErr w:type="spellStart"/>
      <w:r>
        <w:rPr>
          <w:lang w:val="cs"/>
        </w:rPr>
        <w:t>benzimidazoly</w:t>
      </w:r>
      <w:proofErr w:type="spellEnd"/>
      <w:r>
        <w:rPr>
          <w:lang w:val="cs"/>
        </w:rPr>
        <w:t xml:space="preserve"> by se měli vyhnout kontaktu s veterinárním léčivým přípravkem.</w:t>
      </w:r>
    </w:p>
    <w:p w14:paraId="5BFB1851" w14:textId="0951D772" w:rsidR="00F927D9" w:rsidRPr="00F927D9" w:rsidRDefault="00F927D9" w:rsidP="00F927D9">
      <w:r>
        <w:rPr>
          <w:lang w:val="cs"/>
        </w:rPr>
        <w:t xml:space="preserve">Při </w:t>
      </w:r>
      <w:r w:rsidR="007B27F1">
        <w:rPr>
          <w:lang w:val="cs"/>
        </w:rPr>
        <w:t xml:space="preserve">nakládání s </w:t>
      </w:r>
      <w:r>
        <w:rPr>
          <w:lang w:val="cs"/>
        </w:rPr>
        <w:t>veterinárním léčivým přípravkem nejezte, nepijte ani nekuřte.</w:t>
      </w:r>
    </w:p>
    <w:p w14:paraId="4AE0B3FE" w14:textId="107BF32F" w:rsidR="00F927D9" w:rsidRPr="00F927D9" w:rsidRDefault="00F927D9" w:rsidP="00F927D9"/>
    <w:p w14:paraId="2965E593" w14:textId="7E2D1D13" w:rsidR="00F927D9" w:rsidRPr="00F927D9" w:rsidRDefault="00F927D9" w:rsidP="00F927D9">
      <w:pPr>
        <w:keepNext/>
        <w:keepLines/>
      </w:pPr>
      <w:r>
        <w:rPr>
          <w:u w:val="single"/>
          <w:lang w:val="cs"/>
        </w:rPr>
        <w:t>Zvláštní opatření pro ochranu životního prostředí:</w:t>
      </w:r>
    </w:p>
    <w:p w14:paraId="06BD2A66" w14:textId="77777777" w:rsidR="00303F8A" w:rsidRPr="009629B8" w:rsidRDefault="00303F8A" w:rsidP="00303F8A">
      <w:bookmarkStart w:id="0" w:name="_Hlk192241041"/>
      <w:r>
        <w:rPr>
          <w:lang w:val="cs"/>
        </w:rPr>
        <w:t>Nebezpečný pro ryby a vodní organismy. Nekontaminujte rybníky, vodní toky nebo stoky veterinárním léčivým přípravkem nebo použitým obalem.</w:t>
      </w:r>
    </w:p>
    <w:p w14:paraId="22104E31" w14:textId="77777777" w:rsidR="00303F8A" w:rsidRPr="009629B8" w:rsidRDefault="00303F8A" w:rsidP="00303F8A">
      <w:proofErr w:type="spellStart"/>
      <w:r>
        <w:rPr>
          <w:lang w:val="cs"/>
        </w:rPr>
        <w:t>Albendazol</w:t>
      </w:r>
      <w:proofErr w:type="spellEnd"/>
      <w:r>
        <w:rPr>
          <w:lang w:val="cs"/>
        </w:rPr>
        <w:t xml:space="preserve"> nesmí kontaminovat půdu, protože může být nebezpečný pro žížaly a další suchozemské organismy. Hnůj s obsahem účinné látky se nesmí používat na stejné půdě v po sobě následujících letech. Toto opatření napomáhá předcházet akumulaci </w:t>
      </w:r>
      <w:proofErr w:type="spellStart"/>
      <w:r>
        <w:rPr>
          <w:lang w:val="cs"/>
        </w:rPr>
        <w:t>albendazolu</w:t>
      </w:r>
      <w:proofErr w:type="spellEnd"/>
      <w:r>
        <w:rPr>
          <w:lang w:val="cs"/>
        </w:rPr>
        <w:t xml:space="preserve">, která může mít nepříznivý vliv na suchozemské prostředí. </w:t>
      </w:r>
      <w:proofErr w:type="spellStart"/>
      <w:r>
        <w:rPr>
          <w:lang w:val="cs"/>
        </w:rPr>
        <w:t>Albendazol</w:t>
      </w:r>
      <w:proofErr w:type="spellEnd"/>
      <w:r>
        <w:rPr>
          <w:lang w:val="cs"/>
        </w:rPr>
        <w:t xml:space="preserve"> je velmi perzistentní.</w:t>
      </w:r>
    </w:p>
    <w:p w14:paraId="66947E0C" w14:textId="77777777" w:rsidR="00303F8A" w:rsidRPr="009629B8" w:rsidRDefault="00303F8A" w:rsidP="00303F8A">
      <w:r>
        <w:rPr>
          <w:lang w:val="cs"/>
        </w:rPr>
        <w:t>Všechen nepoužitý veterinární léčivý přípravek nebo odpad, který pochází z tohoto přípravku, musí být likvidován podle místních právních předpisů.</w:t>
      </w:r>
    </w:p>
    <w:bookmarkEnd w:id="0"/>
    <w:p w14:paraId="5DEF438C" w14:textId="0C6CBAFA" w:rsidR="00F927D9" w:rsidRPr="00F927D9" w:rsidRDefault="00F927D9" w:rsidP="00F927D9"/>
    <w:p w14:paraId="3EFF3943" w14:textId="3FAAEFA6" w:rsidR="00F927D9" w:rsidRPr="00F927D9" w:rsidRDefault="00F927D9" w:rsidP="00F927D9">
      <w:pPr>
        <w:keepNext/>
        <w:keepLines/>
      </w:pPr>
      <w:r>
        <w:rPr>
          <w:u w:val="single"/>
          <w:lang w:val="cs"/>
        </w:rPr>
        <w:t>Další opatření</w:t>
      </w:r>
      <w:r w:rsidR="00303F8A">
        <w:rPr>
          <w:u w:val="single"/>
          <w:lang w:val="cs"/>
        </w:rPr>
        <w:t>:</w:t>
      </w:r>
    </w:p>
    <w:p w14:paraId="0FDA8420" w14:textId="77777777" w:rsidR="00303F8A" w:rsidRPr="009629B8" w:rsidRDefault="00303F8A" w:rsidP="00303F8A">
      <w:r>
        <w:rPr>
          <w:lang w:val="cs"/>
        </w:rPr>
        <w:t>Dlouhodobý účinek veterinárního léčivého přípravku na populační dynamiku koprofágních brouků byl prozkoumán, proto se nedoporučuje ošetřovat zvířata na stejné pastvině každou sezónu. Po podání by zvířata neměla pobývat mimo stáj po dobu minimálně 5 dnů, aby se zabránilo exkreci na pastviny.</w:t>
      </w:r>
    </w:p>
    <w:p w14:paraId="4D0B823C" w14:textId="77777777" w:rsidR="00303F8A" w:rsidRPr="009629B8" w:rsidRDefault="00303F8A" w:rsidP="00303F8A">
      <w:r>
        <w:rPr>
          <w:lang w:val="cs"/>
        </w:rPr>
        <w:t xml:space="preserve">Hnůj léčených zvířat musí být před použitím při hnojení skladován po dobu 4 měsíců a před zaoráním do půdy je třeba počkat nejméně 2 dny, aby mohlo dojít k další degradaci </w:t>
      </w:r>
      <w:proofErr w:type="spellStart"/>
      <w:r>
        <w:rPr>
          <w:lang w:val="cs"/>
        </w:rPr>
        <w:t>albendazolu</w:t>
      </w:r>
      <w:proofErr w:type="spellEnd"/>
      <w:r>
        <w:rPr>
          <w:lang w:val="cs"/>
        </w:rPr>
        <w:t xml:space="preserve"> a jeho metabolitů. Doporučuje se zvolit obhospodařování pastvin založené na střídání různých druhů hospodářských zvířat.</w:t>
      </w:r>
    </w:p>
    <w:p w14:paraId="00D446A0" w14:textId="36DA859E" w:rsidR="00F927D9" w:rsidRPr="00F927D9" w:rsidRDefault="00F927D9" w:rsidP="00F927D9"/>
    <w:p w14:paraId="6AA62BC8" w14:textId="7DEDEEF8" w:rsidR="00F927D9" w:rsidRPr="00F927D9" w:rsidRDefault="00F927D9" w:rsidP="00F927D9">
      <w:pPr>
        <w:keepNext/>
        <w:keepLines/>
      </w:pPr>
      <w:r>
        <w:rPr>
          <w:u w:val="single"/>
          <w:lang w:val="cs"/>
        </w:rPr>
        <w:t>Březost a laktace</w:t>
      </w:r>
      <w:r>
        <w:rPr>
          <w:lang w:val="cs"/>
        </w:rPr>
        <w:t>:</w:t>
      </w:r>
    </w:p>
    <w:p w14:paraId="03EA98B0" w14:textId="05D1BADD" w:rsidR="00F927D9" w:rsidRPr="00F927D9" w:rsidRDefault="00F927D9" w:rsidP="00F927D9">
      <w:r>
        <w:rPr>
          <w:lang w:val="cs"/>
        </w:rPr>
        <w:t>Nepoužívat během prvního trimestru březosti. Během posledních dvou období březosti a během laktace používat pouze po zhodnocení poměru terapeutického prospěchu a rizika odpovědným veterinárním lékařem.</w:t>
      </w:r>
    </w:p>
    <w:p w14:paraId="59F04EA2" w14:textId="59FA701F" w:rsidR="00F927D9" w:rsidRPr="00F927D9" w:rsidRDefault="00F927D9" w:rsidP="00F927D9"/>
    <w:p w14:paraId="33EA3804" w14:textId="77777777" w:rsidR="00F927D9" w:rsidRDefault="00F927D9" w:rsidP="00F927D9">
      <w:pPr>
        <w:keepNext/>
        <w:keepLines/>
      </w:pPr>
      <w:r>
        <w:rPr>
          <w:u w:val="single"/>
          <w:lang w:val="cs"/>
        </w:rPr>
        <w:t>Interakce s dalšími léčivými přípravky a další formy interakce:</w:t>
      </w:r>
    </w:p>
    <w:p w14:paraId="73058D9E" w14:textId="535A5948" w:rsidR="00F927D9" w:rsidRPr="00F927D9" w:rsidRDefault="00F927D9" w:rsidP="00F927D9">
      <w:r>
        <w:rPr>
          <w:lang w:val="cs"/>
        </w:rPr>
        <w:t>Nejsou známy.</w:t>
      </w:r>
    </w:p>
    <w:p w14:paraId="3716CE66" w14:textId="4C1FFA32" w:rsidR="00F927D9" w:rsidRPr="00F927D9" w:rsidRDefault="00F927D9" w:rsidP="00F927D9"/>
    <w:p w14:paraId="00F8FD65" w14:textId="01CE1E3E" w:rsidR="00F927D9" w:rsidRPr="00F927D9" w:rsidRDefault="00F927D9" w:rsidP="00F927D9">
      <w:pPr>
        <w:keepNext/>
        <w:keepLines/>
      </w:pPr>
      <w:r>
        <w:rPr>
          <w:u w:val="single"/>
          <w:lang w:val="cs"/>
        </w:rPr>
        <w:t>Předávkování</w:t>
      </w:r>
      <w:r>
        <w:rPr>
          <w:lang w:val="cs"/>
        </w:rPr>
        <w:t>:</w:t>
      </w:r>
    </w:p>
    <w:p w14:paraId="6B1DB31A" w14:textId="75610B58" w:rsidR="00F927D9" w:rsidRPr="00F927D9" w:rsidRDefault="00F927D9" w:rsidP="00F927D9">
      <w:r>
        <w:rPr>
          <w:lang w:val="cs"/>
        </w:rPr>
        <w:t xml:space="preserve">Terapeutický index </w:t>
      </w:r>
      <w:proofErr w:type="spellStart"/>
      <w:r>
        <w:rPr>
          <w:lang w:val="cs"/>
        </w:rPr>
        <w:t>albendazolu</w:t>
      </w:r>
      <w:proofErr w:type="spellEnd"/>
      <w:r>
        <w:rPr>
          <w:lang w:val="cs"/>
        </w:rPr>
        <w:t xml:space="preserve"> je vysoký. </w:t>
      </w:r>
      <w:proofErr w:type="gramStart"/>
      <w:r>
        <w:rPr>
          <w:lang w:val="cs"/>
        </w:rPr>
        <w:t>Tři- až</w:t>
      </w:r>
      <w:proofErr w:type="gramEnd"/>
      <w:r>
        <w:rPr>
          <w:lang w:val="cs"/>
        </w:rPr>
        <w:t xml:space="preserve"> pětinásobně zvýšená dávka nezpůsobuje klinické příznaky. V případě vážného předávkování by se zvířata měla léčit symptomaticky.</w:t>
      </w:r>
    </w:p>
    <w:p w14:paraId="6D6CDB1D" w14:textId="4E47E2A0" w:rsidR="00F927D9" w:rsidRPr="00F927D9" w:rsidRDefault="00F927D9" w:rsidP="00F927D9"/>
    <w:p w14:paraId="27497DEB" w14:textId="77777777" w:rsidR="00F927D9" w:rsidRDefault="00F927D9" w:rsidP="00F927D9">
      <w:pPr>
        <w:keepNext/>
        <w:keepLines/>
      </w:pPr>
      <w:r>
        <w:rPr>
          <w:u w:val="single"/>
          <w:lang w:val="cs"/>
        </w:rPr>
        <w:t>Zvláštní omezení pro použití a zvláštní podmínky pro použití:</w:t>
      </w:r>
    </w:p>
    <w:p w14:paraId="041ED7DB" w14:textId="49707976" w:rsidR="00F927D9" w:rsidRPr="00F927D9" w:rsidRDefault="00F927D9" w:rsidP="00F927D9">
      <w:r>
        <w:rPr>
          <w:lang w:val="cs"/>
        </w:rPr>
        <w:t>Neuplatňuje se.</w:t>
      </w:r>
    </w:p>
    <w:p w14:paraId="2E4BAAD3" w14:textId="7AF07C94" w:rsidR="00F927D9" w:rsidRPr="00F927D9" w:rsidRDefault="00F927D9" w:rsidP="00F927D9"/>
    <w:p w14:paraId="27E53852" w14:textId="2E957C23" w:rsidR="00F927D9" w:rsidRPr="00F927D9" w:rsidRDefault="00F927D9" w:rsidP="00F927D9">
      <w:pPr>
        <w:keepNext/>
        <w:keepLines/>
      </w:pPr>
      <w:r>
        <w:rPr>
          <w:u w:val="single"/>
          <w:lang w:val="cs"/>
        </w:rPr>
        <w:t>Hlavní inkompatibility</w:t>
      </w:r>
      <w:r>
        <w:rPr>
          <w:lang w:val="cs"/>
        </w:rPr>
        <w:t>:</w:t>
      </w:r>
    </w:p>
    <w:p w14:paraId="010680FA" w14:textId="04F846F5" w:rsidR="00F927D9" w:rsidRPr="00F927D9" w:rsidRDefault="00F927D9" w:rsidP="00F927D9">
      <w:r>
        <w:rPr>
          <w:lang w:val="cs"/>
        </w:rPr>
        <w:t>Studie kompatibility nejsou k dispozici, a proto tento veterinární léčivý přípravek nesmí být mísen s žádnými dalšími veterinárními léčivými přípravky.</w:t>
      </w:r>
    </w:p>
    <w:p w14:paraId="0B895BDE" w14:textId="08EE46A6" w:rsidR="00F927D9" w:rsidRPr="00F927D9" w:rsidRDefault="00F927D9" w:rsidP="00F927D9">
      <w:pPr>
        <w:pStyle w:val="L1"/>
      </w:pPr>
      <w:r>
        <w:rPr>
          <w:lang w:val="cs"/>
        </w:rPr>
        <w:t xml:space="preserve">Nežádoucí účinky </w:t>
      </w:r>
    </w:p>
    <w:p w14:paraId="2F961AE8" w14:textId="3819132A" w:rsidR="00F927D9" w:rsidRPr="00F927D9" w:rsidRDefault="00F927D9" w:rsidP="00F927D9">
      <w:r>
        <w:rPr>
          <w:lang w:val="cs"/>
        </w:rPr>
        <w:t>Skot a ovce</w:t>
      </w:r>
    </w:p>
    <w:p w14:paraId="2C930628" w14:textId="03CF918B" w:rsidR="00F927D9" w:rsidRPr="00F927D9" w:rsidRDefault="00F927D9" w:rsidP="00F927D9">
      <w:r>
        <w:rPr>
          <w:lang w:val="cs"/>
        </w:rPr>
        <w:t>Při dodržení doporučeného dávkování nebyly pozorovány žádné nežádoucí účinky.</w:t>
      </w:r>
    </w:p>
    <w:p w14:paraId="1F5FF823" w14:textId="4D0F338C" w:rsidR="00F927D9" w:rsidRPr="00F927D9" w:rsidRDefault="00F927D9" w:rsidP="00F927D9"/>
    <w:p w14:paraId="780F8D53" w14:textId="7CAC7B67" w:rsidR="00D209B1" w:rsidRDefault="00F927D9" w:rsidP="00F927D9">
      <w:pPr>
        <w:rPr>
          <w:lang w:val="cs"/>
        </w:rPr>
      </w:pPr>
      <w:r>
        <w:rPr>
          <w:lang w:val="cs"/>
        </w:rPr>
        <w:t xml:space="preserve">Hlášení nežádoucích účinků je důležité. Umožňuje nepřetržité sledování bezpečnosti veterinárního léčivého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držiteli rozhodnutí o registraci nebo </w:t>
      </w:r>
      <w:r w:rsidR="00D209B1">
        <w:rPr>
          <w:lang w:val="cs"/>
        </w:rPr>
        <w:t xml:space="preserve">jeho </w:t>
      </w:r>
      <w:r>
        <w:rPr>
          <w:lang w:val="cs"/>
        </w:rPr>
        <w:t>místnímu zástupc</w:t>
      </w:r>
      <w:r w:rsidR="00D209B1">
        <w:rPr>
          <w:lang w:val="cs"/>
        </w:rPr>
        <w:t>i</w:t>
      </w:r>
      <w:r>
        <w:rPr>
          <w:lang w:val="cs"/>
        </w:rPr>
        <w:t xml:space="preserve"> s využitím kontaktních údajů uvedených na konci této příbalové informace nebo prostřednictvím národního systému hlášení nežádoucích účinků</w:t>
      </w:r>
      <w:r w:rsidR="00D209B1">
        <w:rPr>
          <w:lang w:val="cs"/>
        </w:rPr>
        <w:t>:</w:t>
      </w:r>
    </w:p>
    <w:p w14:paraId="2C1E9B9E" w14:textId="77777777" w:rsidR="00D209B1" w:rsidRPr="00DC591F" w:rsidRDefault="00D209B1" w:rsidP="00D209B1">
      <w:pPr>
        <w:tabs>
          <w:tab w:val="left" w:pos="-720"/>
        </w:tabs>
        <w:suppressAutoHyphens/>
        <w:spacing w:line="240" w:lineRule="auto"/>
        <w:rPr>
          <w:rFonts w:asciiTheme="minorHAnsi" w:hAnsiTheme="minorHAnsi" w:cstheme="minorHAnsi"/>
        </w:rPr>
      </w:pPr>
      <w:r w:rsidRPr="00DC591F">
        <w:rPr>
          <w:rFonts w:asciiTheme="minorHAnsi" w:hAnsiTheme="minorHAnsi" w:cstheme="minorHAnsi"/>
        </w:rPr>
        <w:t xml:space="preserve">Ústav pro státní kontrolu veterinárních biopreparátů a léčiv </w:t>
      </w:r>
    </w:p>
    <w:p w14:paraId="2D44C9BA" w14:textId="77777777" w:rsidR="00D209B1" w:rsidRPr="00487B52" w:rsidRDefault="00D209B1" w:rsidP="00D209B1">
      <w:pPr>
        <w:tabs>
          <w:tab w:val="left" w:pos="-720"/>
        </w:tabs>
        <w:suppressAutoHyphens/>
        <w:spacing w:line="240" w:lineRule="auto"/>
        <w:rPr>
          <w:rFonts w:cs="Times New Roman"/>
        </w:rPr>
      </w:pPr>
      <w:r w:rsidRPr="00487B52">
        <w:rPr>
          <w:rFonts w:cs="Times New Roman"/>
        </w:rPr>
        <w:t xml:space="preserve">Hudcova 232/56a </w:t>
      </w:r>
    </w:p>
    <w:p w14:paraId="42FBA96E" w14:textId="77777777" w:rsidR="00D209B1" w:rsidRPr="00487B52" w:rsidRDefault="00D209B1" w:rsidP="00D209B1">
      <w:pPr>
        <w:tabs>
          <w:tab w:val="left" w:pos="-720"/>
        </w:tabs>
        <w:suppressAutoHyphens/>
        <w:spacing w:line="240" w:lineRule="auto"/>
        <w:rPr>
          <w:rFonts w:cs="Times New Roman"/>
        </w:rPr>
      </w:pPr>
      <w:r w:rsidRPr="00487B52">
        <w:rPr>
          <w:rFonts w:cs="Times New Roman"/>
        </w:rPr>
        <w:t>621 00 Brno</w:t>
      </w:r>
    </w:p>
    <w:p w14:paraId="4B9FB807" w14:textId="77777777" w:rsidR="00D209B1" w:rsidRPr="00487B52" w:rsidRDefault="00D209B1" w:rsidP="00D209B1">
      <w:pPr>
        <w:tabs>
          <w:tab w:val="left" w:pos="-720"/>
        </w:tabs>
        <w:suppressAutoHyphens/>
        <w:spacing w:line="240" w:lineRule="auto"/>
        <w:rPr>
          <w:rFonts w:cs="Times New Roman"/>
        </w:rPr>
      </w:pPr>
      <w:r w:rsidRPr="00487B52">
        <w:rPr>
          <w:rFonts w:cs="Times New Roman"/>
        </w:rPr>
        <w:t xml:space="preserve">e-mail: </w:t>
      </w:r>
      <w:r w:rsidRPr="00D209B1">
        <w:rPr>
          <w:rFonts w:cs="Times New Roman"/>
        </w:rPr>
        <w:fldChar w:fldCharType="begin"/>
      </w:r>
      <w:r w:rsidRPr="00487B52">
        <w:rPr>
          <w:rFonts w:cs="Times New Roman"/>
        </w:rPr>
        <w:instrText xml:space="preserve"> HYPERLINK "mailto:adr@uskvbl.cz" </w:instrText>
      </w:r>
      <w:r w:rsidRPr="00487B52">
        <w:rPr>
          <w:rFonts w:cs="Times New Roman"/>
        </w:rPr>
        <w:fldChar w:fldCharType="separate"/>
      </w:r>
      <w:r w:rsidRPr="00487B52">
        <w:rPr>
          <w:rStyle w:val="Hypertextovodkaz"/>
          <w:rFonts w:cs="Times New Roman"/>
        </w:rPr>
        <w:t>adr@uskvbl.cz</w:t>
      </w:r>
      <w:r w:rsidRPr="00487B52">
        <w:rPr>
          <w:rStyle w:val="Hypertextovodkaz"/>
          <w:rFonts w:cs="Times New Roman"/>
        </w:rPr>
        <w:fldChar w:fldCharType="end"/>
      </w:r>
    </w:p>
    <w:p w14:paraId="208C193D" w14:textId="00070B11" w:rsidR="00F927D9" w:rsidRPr="00D209B1" w:rsidRDefault="00D209B1" w:rsidP="00D209B1">
      <w:pPr>
        <w:rPr>
          <w:rFonts w:cs="Times New Roman"/>
        </w:rPr>
      </w:pPr>
      <w:r w:rsidRPr="00487B52">
        <w:rPr>
          <w:rFonts w:cs="Times New Roman"/>
        </w:rPr>
        <w:t xml:space="preserve">Webové stránky: </w:t>
      </w:r>
      <w:r w:rsidRPr="00D209B1">
        <w:rPr>
          <w:rFonts w:cs="Times New Roman"/>
        </w:rPr>
        <w:fldChar w:fldCharType="begin"/>
      </w:r>
      <w:r w:rsidRPr="00487B52">
        <w:rPr>
          <w:rFonts w:cs="Times New Roman"/>
        </w:rPr>
        <w:instrText xml:space="preserve"> HYPERLINK "http://www.uskvbl.cz/cs/farmakovigilance" </w:instrText>
      </w:r>
      <w:r w:rsidRPr="00487B52">
        <w:rPr>
          <w:rFonts w:cs="Times New Roman"/>
        </w:rPr>
        <w:fldChar w:fldCharType="separate"/>
      </w:r>
      <w:r w:rsidRPr="00487B52">
        <w:rPr>
          <w:rStyle w:val="Hypertextovodkaz"/>
          <w:rFonts w:cs="Times New Roman"/>
        </w:rPr>
        <w:t>http://www.uskvbl.cz/cs/farmakovigilance</w:t>
      </w:r>
      <w:r w:rsidRPr="00487B52">
        <w:rPr>
          <w:rStyle w:val="Hypertextovodkaz"/>
          <w:rFonts w:cs="Times New Roman"/>
        </w:rPr>
        <w:fldChar w:fldCharType="end"/>
      </w:r>
    </w:p>
    <w:p w14:paraId="5849E325" w14:textId="77A4F94A" w:rsidR="00F927D9" w:rsidRPr="00F927D9" w:rsidRDefault="00F927D9" w:rsidP="00F927D9">
      <w:pPr>
        <w:pStyle w:val="L1"/>
      </w:pPr>
      <w:r>
        <w:rPr>
          <w:lang w:val="cs"/>
        </w:rPr>
        <w:t>Dávkování pro každý druh, cesty a způsob podání</w:t>
      </w:r>
    </w:p>
    <w:p w14:paraId="6B553A2C" w14:textId="29404D57" w:rsidR="00F927D9" w:rsidRDefault="00F927D9" w:rsidP="00F927D9">
      <w:r>
        <w:rPr>
          <w:lang w:val="cs"/>
        </w:rPr>
        <w:t xml:space="preserve">Perorální </w:t>
      </w:r>
      <w:r w:rsidR="00D209B1">
        <w:rPr>
          <w:lang w:val="cs"/>
        </w:rPr>
        <w:t>podání</w:t>
      </w:r>
      <w:r>
        <w:rPr>
          <w:lang w:val="cs"/>
        </w:rPr>
        <w:t>.</w:t>
      </w:r>
    </w:p>
    <w:p w14:paraId="6B2979D7" w14:textId="77777777" w:rsidR="00F927D9" w:rsidRPr="00F927D9" w:rsidRDefault="00F927D9" w:rsidP="00F927D9"/>
    <w:p w14:paraId="004AD65D" w14:textId="77777777" w:rsidR="00D209B1" w:rsidRPr="009629B8" w:rsidRDefault="00D209B1" w:rsidP="00D209B1">
      <w:r>
        <w:rPr>
          <w:lang w:val="cs"/>
        </w:rPr>
        <w:t xml:space="preserve">K léčbě infekcí způsobených hlísticemi gastrointestinálního traktu, </w:t>
      </w:r>
      <w:proofErr w:type="spellStart"/>
      <w:r>
        <w:rPr>
          <w:lang w:val="cs"/>
        </w:rPr>
        <w:t>plicnivkami</w:t>
      </w:r>
      <w:proofErr w:type="spellEnd"/>
      <w:r>
        <w:rPr>
          <w:lang w:val="cs"/>
        </w:rPr>
        <w:t xml:space="preserve"> a tasemnicemi:</w:t>
      </w:r>
      <w:r>
        <w:rPr>
          <w:i/>
          <w:iCs/>
          <w:lang w:val="cs"/>
        </w:rPr>
        <w:t xml:space="preserve"> </w:t>
      </w:r>
      <w:r>
        <w:rPr>
          <w:lang w:val="cs"/>
        </w:rPr>
        <w:t xml:space="preserve">7,5 mg </w:t>
      </w:r>
      <w:proofErr w:type="spellStart"/>
      <w:r>
        <w:rPr>
          <w:lang w:val="cs"/>
        </w:rPr>
        <w:t>albendazolu</w:t>
      </w:r>
      <w:proofErr w:type="spellEnd"/>
      <w:r>
        <w:rPr>
          <w:lang w:val="cs"/>
        </w:rPr>
        <w:t xml:space="preserve"> na 1 kg živé hmotnosti (7,5 ml veterinárního léčivého přípravku na 100 kg živé hmotnosti).</w:t>
      </w:r>
    </w:p>
    <w:p w14:paraId="520E51E6" w14:textId="77777777" w:rsidR="00D209B1" w:rsidRPr="009629B8" w:rsidRDefault="00D209B1" w:rsidP="00D209B1">
      <w:r>
        <w:rPr>
          <w:lang w:val="cs"/>
        </w:rPr>
        <w:lastRenderedPageBreak/>
        <w:t xml:space="preserve">K léčbě infekcí způsobených </w:t>
      </w:r>
      <w:proofErr w:type="spellStart"/>
      <w:r>
        <w:rPr>
          <w:i/>
          <w:iCs/>
          <w:lang w:val="cs"/>
        </w:rPr>
        <w:t>Fasciola</w:t>
      </w:r>
      <w:proofErr w:type="spellEnd"/>
      <w:r>
        <w:rPr>
          <w:i/>
          <w:iCs/>
          <w:lang w:val="cs"/>
        </w:rPr>
        <w:t xml:space="preserve"> </w:t>
      </w:r>
      <w:proofErr w:type="spellStart"/>
      <w:r>
        <w:rPr>
          <w:i/>
          <w:iCs/>
          <w:lang w:val="cs"/>
        </w:rPr>
        <w:t>hepatica</w:t>
      </w:r>
      <w:proofErr w:type="spellEnd"/>
      <w:r>
        <w:rPr>
          <w:i/>
          <w:iCs/>
          <w:lang w:val="cs"/>
        </w:rPr>
        <w:t xml:space="preserve"> </w:t>
      </w:r>
      <w:r>
        <w:rPr>
          <w:lang w:val="cs"/>
        </w:rPr>
        <w:t xml:space="preserve">a </w:t>
      </w:r>
      <w:proofErr w:type="spellStart"/>
      <w:r>
        <w:rPr>
          <w:i/>
          <w:iCs/>
          <w:lang w:val="cs"/>
        </w:rPr>
        <w:t>Dicrocoelium</w:t>
      </w:r>
      <w:proofErr w:type="spellEnd"/>
      <w:r>
        <w:rPr>
          <w:i/>
          <w:iCs/>
          <w:lang w:val="cs"/>
        </w:rPr>
        <w:t xml:space="preserve"> </w:t>
      </w:r>
      <w:proofErr w:type="spellStart"/>
      <w:r>
        <w:rPr>
          <w:i/>
          <w:iCs/>
          <w:lang w:val="cs"/>
        </w:rPr>
        <w:t>dendriticum</w:t>
      </w:r>
      <w:proofErr w:type="spellEnd"/>
      <w:r>
        <w:rPr>
          <w:i/>
          <w:iCs/>
          <w:lang w:val="cs"/>
        </w:rPr>
        <w:t xml:space="preserve"> </w:t>
      </w:r>
      <w:r>
        <w:rPr>
          <w:lang w:val="cs"/>
        </w:rPr>
        <w:t xml:space="preserve">nebo v případě </w:t>
      </w:r>
      <w:proofErr w:type="spellStart"/>
      <w:r>
        <w:rPr>
          <w:lang w:val="cs"/>
        </w:rPr>
        <w:t>ostertagiózy</w:t>
      </w:r>
      <w:proofErr w:type="spellEnd"/>
      <w:r>
        <w:rPr>
          <w:lang w:val="cs"/>
        </w:rPr>
        <w:t xml:space="preserve"> typu II: 10 mg </w:t>
      </w:r>
      <w:proofErr w:type="spellStart"/>
      <w:r>
        <w:rPr>
          <w:lang w:val="cs"/>
        </w:rPr>
        <w:t>albendazolu</w:t>
      </w:r>
      <w:proofErr w:type="spellEnd"/>
      <w:r>
        <w:rPr>
          <w:lang w:val="cs"/>
        </w:rPr>
        <w:t xml:space="preserve"> na 1 kg živé hmotnosti (10 ml veterinárního léčivého přípravku na 100 kg živé hmotnosti).</w:t>
      </w:r>
    </w:p>
    <w:p w14:paraId="0A68D387" w14:textId="77777777" w:rsidR="00D209B1" w:rsidRPr="009629B8" w:rsidRDefault="00D209B1" w:rsidP="00D209B1"/>
    <w:p w14:paraId="7287A447" w14:textId="77777777" w:rsidR="00D209B1" w:rsidRPr="00F927D9" w:rsidRDefault="00D209B1" w:rsidP="00D209B1">
      <w:pPr>
        <w:keepNext/>
        <w:keepLines/>
        <w:rPr>
          <w:b/>
        </w:rPr>
      </w:pPr>
      <w:r>
        <w:rPr>
          <w:b/>
          <w:bCs/>
          <w:lang w:val="cs"/>
        </w:rPr>
        <w:t>Ovce:</w:t>
      </w:r>
    </w:p>
    <w:p w14:paraId="58B62783" w14:textId="77777777" w:rsidR="00D209B1" w:rsidRPr="009629B8" w:rsidRDefault="00D209B1" w:rsidP="00D209B1">
      <w:r>
        <w:rPr>
          <w:lang w:val="cs"/>
        </w:rPr>
        <w:t xml:space="preserve">K léčbě infekcí způsobených hlísticemi gastrointestinálního traktu, </w:t>
      </w:r>
      <w:proofErr w:type="spellStart"/>
      <w:r>
        <w:rPr>
          <w:lang w:val="cs"/>
        </w:rPr>
        <w:t>plicnivkami</w:t>
      </w:r>
      <w:proofErr w:type="spellEnd"/>
      <w:r>
        <w:rPr>
          <w:lang w:val="cs"/>
        </w:rPr>
        <w:t xml:space="preserve"> a tasemnicemi:</w:t>
      </w:r>
    </w:p>
    <w:p w14:paraId="5F169FD5" w14:textId="77777777" w:rsidR="00D209B1" w:rsidRPr="009629B8" w:rsidRDefault="00D209B1" w:rsidP="00D209B1">
      <w:r>
        <w:rPr>
          <w:lang w:val="cs"/>
        </w:rPr>
        <w:t xml:space="preserve">5 mg </w:t>
      </w:r>
      <w:proofErr w:type="spellStart"/>
      <w:r>
        <w:rPr>
          <w:lang w:val="cs"/>
        </w:rPr>
        <w:t>albendazolu</w:t>
      </w:r>
      <w:proofErr w:type="spellEnd"/>
      <w:r>
        <w:rPr>
          <w:lang w:val="cs"/>
        </w:rPr>
        <w:t xml:space="preserve"> na 1 kg živé hmotnosti (0,5 ml veterinárního léčivého přípravku na 10 kg živé hmotnosti).</w:t>
      </w:r>
    </w:p>
    <w:p w14:paraId="01FEA704" w14:textId="77777777" w:rsidR="00D209B1" w:rsidRPr="009629B8" w:rsidRDefault="00D209B1" w:rsidP="00D209B1">
      <w:r>
        <w:rPr>
          <w:lang w:val="cs"/>
        </w:rPr>
        <w:t xml:space="preserve">K léčbě infekcí způsobených </w:t>
      </w:r>
      <w:proofErr w:type="spellStart"/>
      <w:r>
        <w:rPr>
          <w:i/>
          <w:iCs/>
          <w:lang w:val="cs"/>
        </w:rPr>
        <w:t>Fasciola</w:t>
      </w:r>
      <w:proofErr w:type="spellEnd"/>
      <w:r>
        <w:rPr>
          <w:i/>
          <w:iCs/>
          <w:lang w:val="cs"/>
        </w:rPr>
        <w:t xml:space="preserve"> </w:t>
      </w:r>
      <w:proofErr w:type="spellStart"/>
      <w:r>
        <w:rPr>
          <w:i/>
          <w:iCs/>
          <w:lang w:val="cs"/>
        </w:rPr>
        <w:t>hepatica</w:t>
      </w:r>
      <w:proofErr w:type="spellEnd"/>
      <w:r>
        <w:rPr>
          <w:i/>
          <w:iCs/>
          <w:lang w:val="cs"/>
        </w:rPr>
        <w:t xml:space="preserve"> </w:t>
      </w:r>
      <w:r>
        <w:rPr>
          <w:lang w:val="cs"/>
        </w:rPr>
        <w:t xml:space="preserve">a </w:t>
      </w:r>
      <w:proofErr w:type="spellStart"/>
      <w:r>
        <w:rPr>
          <w:i/>
          <w:iCs/>
          <w:lang w:val="cs"/>
        </w:rPr>
        <w:t>Dicrocoelium</w:t>
      </w:r>
      <w:proofErr w:type="spellEnd"/>
      <w:r>
        <w:rPr>
          <w:i/>
          <w:iCs/>
          <w:lang w:val="cs"/>
        </w:rPr>
        <w:t xml:space="preserve"> </w:t>
      </w:r>
      <w:proofErr w:type="spellStart"/>
      <w:r>
        <w:rPr>
          <w:i/>
          <w:iCs/>
          <w:lang w:val="cs"/>
        </w:rPr>
        <w:t>dendriticum</w:t>
      </w:r>
      <w:proofErr w:type="spellEnd"/>
      <w:r>
        <w:rPr>
          <w:lang w:val="cs"/>
        </w:rPr>
        <w:t xml:space="preserve">: 7,5 mg </w:t>
      </w:r>
      <w:proofErr w:type="spellStart"/>
      <w:r>
        <w:rPr>
          <w:lang w:val="cs"/>
        </w:rPr>
        <w:t>albendazolu</w:t>
      </w:r>
      <w:proofErr w:type="spellEnd"/>
      <w:r>
        <w:rPr>
          <w:lang w:val="cs"/>
        </w:rPr>
        <w:t xml:space="preserve"> na 1 kg živé hmotnosti (0,75 ml veterinárního léčivého přípravku na 10 kg živé hmotnosti).</w:t>
      </w:r>
    </w:p>
    <w:p w14:paraId="385E6CB1" w14:textId="35F8632B" w:rsidR="00F927D9" w:rsidRPr="00F927D9" w:rsidRDefault="00F927D9" w:rsidP="00F927D9">
      <w:pPr>
        <w:pStyle w:val="L1"/>
      </w:pPr>
      <w:r>
        <w:rPr>
          <w:lang w:val="cs"/>
        </w:rPr>
        <w:t>Informace o správném podávání</w:t>
      </w:r>
    </w:p>
    <w:p w14:paraId="197C8C68" w14:textId="150134AD" w:rsidR="00F927D9" w:rsidRPr="00F927D9" w:rsidRDefault="00F927D9" w:rsidP="00F927D9">
      <w:r>
        <w:rPr>
          <w:lang w:val="cs"/>
        </w:rPr>
        <w:t>Před použitím důkladně protřepejte.</w:t>
      </w:r>
    </w:p>
    <w:p w14:paraId="5A233DE8" w14:textId="6A4E9255" w:rsidR="00F927D9" w:rsidRPr="00F927D9" w:rsidRDefault="00F927D9" w:rsidP="00F927D9"/>
    <w:p w14:paraId="150ADC1A" w14:textId="08F9F555" w:rsidR="00F927D9" w:rsidRDefault="00F927D9" w:rsidP="00F927D9">
      <w:pPr>
        <w:rPr>
          <w:lang w:val="cs"/>
        </w:rPr>
      </w:pPr>
      <w:r>
        <w:rPr>
          <w:lang w:val="cs"/>
        </w:rPr>
        <w:t xml:space="preserve">K zajištění správné dávky musí být co nejpřesněji určena </w:t>
      </w:r>
      <w:r w:rsidR="00D209B1">
        <w:rPr>
          <w:lang w:val="cs"/>
        </w:rPr>
        <w:t xml:space="preserve">živá </w:t>
      </w:r>
      <w:r>
        <w:rPr>
          <w:lang w:val="cs"/>
        </w:rPr>
        <w:t>hmotnost. Je nutné zkontrolovat přesnost dávkovacího zařízení.</w:t>
      </w:r>
    </w:p>
    <w:p w14:paraId="59EEFB7A" w14:textId="40325EF2" w:rsidR="006443E3" w:rsidRPr="00F927D9" w:rsidRDefault="006443E3" w:rsidP="00F927D9">
      <w:r w:rsidRPr="00363E9D">
        <w:rPr>
          <w:lang w:val="cs"/>
        </w:rPr>
        <w:t xml:space="preserve">Pokud mají být zvířata léčena hromadně, nikoli individuálně, měla by být seskupena podle </w:t>
      </w:r>
      <w:r>
        <w:rPr>
          <w:lang w:val="cs"/>
        </w:rPr>
        <w:t>živ</w:t>
      </w:r>
      <w:r w:rsidRPr="00363E9D">
        <w:rPr>
          <w:lang w:val="cs"/>
        </w:rPr>
        <w:t xml:space="preserve">é hmotnosti a podle toho dávkována, aby se zabránilo </w:t>
      </w:r>
      <w:proofErr w:type="spellStart"/>
      <w:r w:rsidRPr="00363E9D">
        <w:rPr>
          <w:lang w:val="cs"/>
        </w:rPr>
        <w:t>poddávkování</w:t>
      </w:r>
      <w:proofErr w:type="spellEnd"/>
      <w:r w:rsidRPr="00363E9D">
        <w:rPr>
          <w:lang w:val="cs"/>
        </w:rPr>
        <w:t xml:space="preserve"> nebo předávkování.</w:t>
      </w:r>
    </w:p>
    <w:p w14:paraId="3F89E753" w14:textId="1C3FBA00" w:rsidR="00F927D9" w:rsidRPr="00F927D9" w:rsidRDefault="00F927D9" w:rsidP="00F927D9">
      <w:pPr>
        <w:pStyle w:val="L1"/>
      </w:pPr>
      <w:r>
        <w:rPr>
          <w:lang w:val="cs"/>
        </w:rPr>
        <w:t>Ochranné lhůty</w:t>
      </w:r>
    </w:p>
    <w:p w14:paraId="287C3E82" w14:textId="51476F63" w:rsidR="00F927D9" w:rsidRPr="00F927D9" w:rsidRDefault="00F927D9" w:rsidP="00F927D9">
      <w:r>
        <w:rPr>
          <w:lang w:val="cs"/>
        </w:rPr>
        <w:t>Skot:</w:t>
      </w:r>
    </w:p>
    <w:p w14:paraId="4176D585" w14:textId="5EBEB4CF" w:rsidR="00F927D9" w:rsidRPr="00F927D9" w:rsidRDefault="00F927D9" w:rsidP="00F927D9">
      <w:r>
        <w:rPr>
          <w:lang w:val="cs"/>
        </w:rPr>
        <w:t>Maso: 14 dní</w:t>
      </w:r>
    </w:p>
    <w:p w14:paraId="06EA366C" w14:textId="409BFC35" w:rsidR="00F927D9" w:rsidRPr="00F927D9" w:rsidRDefault="00F927D9" w:rsidP="00F927D9">
      <w:r>
        <w:rPr>
          <w:lang w:val="cs"/>
        </w:rPr>
        <w:t>Mléko: 5 dní</w:t>
      </w:r>
    </w:p>
    <w:p w14:paraId="62367E50" w14:textId="3B274BDB" w:rsidR="00F927D9" w:rsidRPr="00F927D9" w:rsidRDefault="00F927D9" w:rsidP="00F927D9"/>
    <w:p w14:paraId="5F989BED" w14:textId="28AA9B1F" w:rsidR="00F927D9" w:rsidRPr="00F927D9" w:rsidRDefault="00F927D9" w:rsidP="00F927D9">
      <w:r>
        <w:rPr>
          <w:lang w:val="cs"/>
        </w:rPr>
        <w:t>Ovce:</w:t>
      </w:r>
    </w:p>
    <w:p w14:paraId="7CA2BD45" w14:textId="552B412A" w:rsidR="00F927D9" w:rsidRPr="00F927D9" w:rsidRDefault="00F927D9" w:rsidP="00F927D9">
      <w:r>
        <w:rPr>
          <w:lang w:val="cs"/>
        </w:rPr>
        <w:t>Maso: 14 dní</w:t>
      </w:r>
    </w:p>
    <w:p w14:paraId="6A41B179" w14:textId="373894BF" w:rsidR="00F927D9" w:rsidRPr="00F927D9" w:rsidRDefault="00F927D9" w:rsidP="00F927D9">
      <w:r>
        <w:rPr>
          <w:lang w:val="cs"/>
        </w:rPr>
        <w:t>Nepoužívat u zvířat, jejichž mléko je určeno pro lidskou spotřebu.</w:t>
      </w:r>
    </w:p>
    <w:p w14:paraId="0FAF7514" w14:textId="7A0982EC" w:rsidR="00F927D9" w:rsidRPr="00F927D9" w:rsidRDefault="00F927D9" w:rsidP="00F927D9">
      <w:pPr>
        <w:pStyle w:val="L1"/>
      </w:pPr>
      <w:r>
        <w:rPr>
          <w:lang w:val="cs"/>
        </w:rPr>
        <w:t>Zvláštní opatření pro uchovávání</w:t>
      </w:r>
    </w:p>
    <w:p w14:paraId="592B48DF" w14:textId="776FCB89" w:rsidR="00F927D9" w:rsidRPr="00F927D9" w:rsidRDefault="00F927D9" w:rsidP="00F927D9">
      <w:r>
        <w:rPr>
          <w:lang w:val="cs"/>
        </w:rPr>
        <w:t>Uchováv</w:t>
      </w:r>
      <w:r w:rsidR="007D73B6">
        <w:rPr>
          <w:lang w:val="cs"/>
        </w:rPr>
        <w:t>ejte</w:t>
      </w:r>
      <w:r>
        <w:rPr>
          <w:lang w:val="cs"/>
        </w:rPr>
        <w:t xml:space="preserve"> mimo dohled a dosah dětí.</w:t>
      </w:r>
    </w:p>
    <w:p w14:paraId="6C976D39" w14:textId="7DAB67D0" w:rsidR="00F927D9" w:rsidRPr="00F927D9" w:rsidRDefault="00F927D9" w:rsidP="00F927D9"/>
    <w:p w14:paraId="08461839" w14:textId="33BA7F77" w:rsidR="00F927D9" w:rsidRPr="00F927D9" w:rsidRDefault="00F927D9" w:rsidP="00F927D9">
      <w:r>
        <w:rPr>
          <w:lang w:val="cs"/>
        </w:rPr>
        <w:t>Chraňte před chladem nebo mrazem.</w:t>
      </w:r>
    </w:p>
    <w:p w14:paraId="041C0792" w14:textId="14B8B719" w:rsidR="00F927D9" w:rsidRPr="00F927D9" w:rsidRDefault="00F927D9" w:rsidP="00F927D9"/>
    <w:p w14:paraId="425B1CBE" w14:textId="61283474" w:rsidR="00F927D9" w:rsidRPr="00F927D9" w:rsidRDefault="00F927D9" w:rsidP="00F927D9">
      <w:r>
        <w:rPr>
          <w:lang w:val="cs"/>
        </w:rPr>
        <w:t>Nepoužívejte tento veterinární léčivý přípravek po uplynutí doby použitelnosti uvedené na etiketě po Exp. Doba použitelnosti končí posledním dnem v uvedeném měsíci.</w:t>
      </w:r>
    </w:p>
    <w:p w14:paraId="3C6A8169" w14:textId="5E713ABA" w:rsidR="00F927D9" w:rsidRPr="00F927D9" w:rsidRDefault="00F927D9" w:rsidP="00F927D9"/>
    <w:p w14:paraId="13A804D0" w14:textId="4DC831F9" w:rsidR="00F927D9" w:rsidRPr="00F927D9" w:rsidRDefault="00F927D9" w:rsidP="00F927D9">
      <w:r>
        <w:rPr>
          <w:lang w:val="cs"/>
        </w:rPr>
        <w:t>Doba použitelnosti po prvním otevření vnitřního obalu: 28 dní.</w:t>
      </w:r>
    </w:p>
    <w:p w14:paraId="75E8AD6C" w14:textId="6C3200DF" w:rsidR="00F927D9" w:rsidRPr="00F927D9" w:rsidRDefault="00F927D9" w:rsidP="00F927D9">
      <w:pPr>
        <w:pStyle w:val="L1"/>
      </w:pPr>
      <w:r>
        <w:rPr>
          <w:lang w:val="cs"/>
        </w:rPr>
        <w:t>Zvláštní opatření pro likvidaci</w:t>
      </w:r>
    </w:p>
    <w:p w14:paraId="7A51F95F" w14:textId="555856D5" w:rsidR="00F927D9" w:rsidRPr="00F927D9" w:rsidRDefault="00F927D9" w:rsidP="00F927D9">
      <w:r>
        <w:rPr>
          <w:lang w:val="cs"/>
        </w:rPr>
        <w:t>Léčivé přípravky se nesmí likvidovat prostřednictvím odpadní vody či domovního odpadu.</w:t>
      </w:r>
    </w:p>
    <w:p w14:paraId="35D8BC81" w14:textId="390811E8" w:rsidR="00F927D9" w:rsidRPr="00F927D9" w:rsidRDefault="00F927D9" w:rsidP="00F927D9"/>
    <w:p w14:paraId="56C4789A" w14:textId="05A3B3AC" w:rsidR="00F927D9" w:rsidRPr="00F927D9" w:rsidRDefault="00F927D9" w:rsidP="00F927D9">
      <w:r>
        <w:rPr>
          <w:lang w:val="cs"/>
        </w:rPr>
        <w:t xml:space="preserve">Tento veterinární léčivý přípravek nesmí kontaminovat vodní toky, protože </w:t>
      </w:r>
      <w:proofErr w:type="spellStart"/>
      <w:r>
        <w:rPr>
          <w:lang w:val="cs"/>
        </w:rPr>
        <w:t>albendazol</w:t>
      </w:r>
      <w:proofErr w:type="spellEnd"/>
      <w:r>
        <w:rPr>
          <w:lang w:val="cs"/>
        </w:rPr>
        <w:t xml:space="preserve"> může být nebezpečný pro ryby a další vodní organismy.</w:t>
      </w:r>
    </w:p>
    <w:p w14:paraId="4A53A0AF" w14:textId="74307E69" w:rsidR="00F927D9" w:rsidRPr="00F927D9" w:rsidRDefault="00F927D9" w:rsidP="00F927D9"/>
    <w:p w14:paraId="05483344" w14:textId="036E7371" w:rsidR="00F927D9" w:rsidRPr="00F927D9" w:rsidRDefault="00F927D9" w:rsidP="00F927D9">
      <w:r>
        <w:rPr>
          <w:lang w:val="cs"/>
        </w:rPr>
        <w:t>Všechen nepoužitý veterinární léčivý přípravek nebo odpad, který pochází z tohoto přípravku, likvidujte odevzdáním v souladu s místními požadavky a platnými národními systémy sběru. Tato opatření napomáhají chránit životní prostředí.</w:t>
      </w:r>
    </w:p>
    <w:p w14:paraId="3DE37B70" w14:textId="3F4F5BBD" w:rsidR="00F927D9" w:rsidRPr="00F927D9" w:rsidRDefault="00F927D9" w:rsidP="00F927D9"/>
    <w:p w14:paraId="2A866C44" w14:textId="5513DBD4" w:rsidR="00F927D9" w:rsidRPr="00F927D9" w:rsidRDefault="00F927D9" w:rsidP="00F927D9">
      <w:r>
        <w:rPr>
          <w:lang w:val="cs"/>
        </w:rPr>
        <w:lastRenderedPageBreak/>
        <w:t>O možnostech likvidace nepotřebných léčivých přípravků se poraďte s vaším veterinárním lékařem</w:t>
      </w:r>
      <w:r w:rsidR="0089422D">
        <w:rPr>
          <w:lang w:val="cs"/>
        </w:rPr>
        <w:t xml:space="preserve"> nebo lékárníkem</w:t>
      </w:r>
      <w:r>
        <w:rPr>
          <w:lang w:val="cs"/>
        </w:rPr>
        <w:t>.</w:t>
      </w:r>
    </w:p>
    <w:p w14:paraId="1234E054" w14:textId="5FFF7980" w:rsidR="00F927D9" w:rsidRPr="00F927D9" w:rsidRDefault="00F927D9" w:rsidP="00F927D9">
      <w:pPr>
        <w:pStyle w:val="L1"/>
      </w:pPr>
      <w:r>
        <w:rPr>
          <w:lang w:val="cs"/>
        </w:rPr>
        <w:t>Klasifikace veterinárních léčivých přípravků</w:t>
      </w:r>
    </w:p>
    <w:p w14:paraId="299AD842" w14:textId="047C66A3" w:rsidR="00F927D9" w:rsidRPr="00F927D9" w:rsidRDefault="00F927D9" w:rsidP="00F927D9">
      <w:r>
        <w:rPr>
          <w:lang w:val="cs"/>
        </w:rPr>
        <w:t>Veterinární léčivý přípravek je vydáván pouze na předpis.</w:t>
      </w:r>
    </w:p>
    <w:p w14:paraId="76ADC2EA" w14:textId="556A14E1" w:rsidR="00F927D9" w:rsidRPr="00F927D9" w:rsidRDefault="00F927D9" w:rsidP="00F927D9">
      <w:pPr>
        <w:pStyle w:val="L1"/>
      </w:pPr>
      <w:r>
        <w:rPr>
          <w:lang w:val="cs"/>
        </w:rPr>
        <w:t>Registrační číslo a velikost balení</w:t>
      </w:r>
    </w:p>
    <w:p w14:paraId="57E53C48" w14:textId="159DA602" w:rsidR="003E0650" w:rsidRDefault="003E0650" w:rsidP="00F927D9">
      <w:pPr>
        <w:rPr>
          <w:lang w:val="cs"/>
        </w:rPr>
      </w:pPr>
      <w:r w:rsidRPr="003E0650">
        <w:rPr>
          <w:lang w:val="cs"/>
        </w:rPr>
        <w:t>96/015/</w:t>
      </w:r>
      <w:proofErr w:type="gramStart"/>
      <w:r w:rsidRPr="003E0650">
        <w:rPr>
          <w:lang w:val="cs"/>
        </w:rPr>
        <w:t>18-C</w:t>
      </w:r>
      <w:bookmarkStart w:id="1" w:name="_GoBack"/>
      <w:bookmarkEnd w:id="1"/>
      <w:proofErr w:type="gramEnd"/>
    </w:p>
    <w:p w14:paraId="7AE9E84B" w14:textId="77777777" w:rsidR="003E0650" w:rsidRDefault="003E0650" w:rsidP="00F927D9">
      <w:pPr>
        <w:rPr>
          <w:lang w:val="cs"/>
        </w:rPr>
      </w:pPr>
    </w:p>
    <w:p w14:paraId="031B7B8E" w14:textId="10467B03" w:rsidR="00F927D9" w:rsidRPr="00F927D9" w:rsidRDefault="00F927D9" w:rsidP="00F927D9">
      <w:r>
        <w:rPr>
          <w:lang w:val="cs"/>
        </w:rPr>
        <w:t>Velikost balení:</w:t>
      </w:r>
    </w:p>
    <w:p w14:paraId="000F04DF" w14:textId="16E03A76" w:rsidR="00F927D9" w:rsidRPr="00F927D9" w:rsidRDefault="00F927D9" w:rsidP="00F927D9">
      <w:r>
        <w:rPr>
          <w:lang w:val="cs"/>
        </w:rPr>
        <w:t>1 litr nebo 5 litrů v polypropylenové l</w:t>
      </w:r>
      <w:r w:rsidR="00E51280">
        <w:rPr>
          <w:lang w:val="cs"/>
        </w:rPr>
        <w:t>a</w:t>
      </w:r>
      <w:r>
        <w:rPr>
          <w:lang w:val="cs"/>
        </w:rPr>
        <w:t>hvi</w:t>
      </w:r>
      <w:r w:rsidR="00E51280">
        <w:rPr>
          <w:lang w:val="cs"/>
        </w:rPr>
        <w:t>.</w:t>
      </w:r>
      <w:r>
        <w:rPr>
          <w:lang w:val="cs"/>
        </w:rPr>
        <w:t xml:space="preserve"> Na trhu nemusí být všechny velikosti balení.</w:t>
      </w:r>
    </w:p>
    <w:p w14:paraId="714EF45D" w14:textId="7D5FE6D3" w:rsidR="00F927D9" w:rsidRPr="00F927D9" w:rsidRDefault="00F927D9" w:rsidP="00F927D9">
      <w:pPr>
        <w:pStyle w:val="L1"/>
      </w:pPr>
      <w:r>
        <w:rPr>
          <w:lang w:val="cs"/>
        </w:rPr>
        <w:t>Datum poslední revize příbalové informace</w:t>
      </w:r>
    </w:p>
    <w:p w14:paraId="7D01975B" w14:textId="4997A9A3" w:rsidR="00F927D9" w:rsidRPr="00F927D9" w:rsidRDefault="00D209B1" w:rsidP="00F927D9">
      <w:r>
        <w:rPr>
          <w:lang w:val="cs"/>
        </w:rPr>
        <w:t>0</w:t>
      </w:r>
      <w:r w:rsidR="003E0650">
        <w:rPr>
          <w:lang w:val="cs"/>
        </w:rPr>
        <w:t>4</w:t>
      </w:r>
      <w:r>
        <w:rPr>
          <w:lang w:val="cs"/>
        </w:rPr>
        <w:t>/2025</w:t>
      </w:r>
    </w:p>
    <w:p w14:paraId="41187CC3" w14:textId="6DEE41F6" w:rsidR="00F927D9" w:rsidRPr="00F927D9" w:rsidRDefault="00F927D9" w:rsidP="00F927D9"/>
    <w:p w14:paraId="6CC6C089" w14:textId="4E61F5F7" w:rsidR="00F927D9" w:rsidRDefault="00F927D9" w:rsidP="00F927D9">
      <w:pPr>
        <w:rPr>
          <w:lang w:val="cs"/>
        </w:rPr>
      </w:pPr>
      <w:r>
        <w:rPr>
          <w:lang w:val="cs"/>
        </w:rPr>
        <w:t xml:space="preserve">Podrobné informace o tomto veterinárním léčivém přípravku jsou k dispozici v databázi přípravků Unie </w:t>
      </w:r>
      <w:hyperlink r:id="rId7">
        <w:r>
          <w:rPr>
            <w:rStyle w:val="Hypertextovodkaz"/>
            <w:color w:val="auto"/>
            <w:u w:val="none"/>
            <w:lang w:val="cs"/>
          </w:rPr>
          <w:t>(</w:t>
        </w:r>
      </w:hyperlink>
      <w:hyperlink r:id="rId8">
        <w:r>
          <w:rPr>
            <w:rStyle w:val="Hypertextovodkaz"/>
            <w:lang w:val="cs"/>
          </w:rPr>
          <w:t>https://medicines.health.europa.eu/veterinary</w:t>
        </w:r>
      </w:hyperlink>
      <w:hyperlink r:id="rId9">
        <w:r>
          <w:rPr>
            <w:rStyle w:val="Hypertextovodkaz"/>
            <w:color w:val="auto"/>
            <w:u w:val="none"/>
            <w:lang w:val="cs"/>
          </w:rPr>
          <w:t>)</w:t>
        </w:r>
      </w:hyperlink>
      <w:r>
        <w:rPr>
          <w:lang w:val="cs"/>
        </w:rPr>
        <w:t>.</w:t>
      </w:r>
    </w:p>
    <w:p w14:paraId="1F25D162" w14:textId="08DE6F7A" w:rsidR="00D209B1" w:rsidRDefault="00D209B1" w:rsidP="00F927D9"/>
    <w:p w14:paraId="0DAB80C5" w14:textId="77777777" w:rsidR="00D209B1" w:rsidRPr="00E53A3A" w:rsidRDefault="00D209B1" w:rsidP="00D209B1">
      <w:pPr>
        <w:tabs>
          <w:tab w:val="left" w:pos="567"/>
        </w:tabs>
        <w:spacing w:line="240" w:lineRule="auto"/>
        <w:rPr>
          <w:rFonts w:eastAsia="Times New Roman" w:cs="Times New Roman"/>
        </w:rPr>
      </w:pPr>
      <w:bookmarkStart w:id="2" w:name="_Hlk148432335"/>
      <w:r w:rsidRPr="00E53A3A">
        <w:rPr>
          <w:rFonts w:eastAsia="Times New Roman" w:cs="Times New Roman"/>
        </w:rPr>
        <w:t>Podrobné informace o tomto veterinárním léčivém přípravku naleznete také v národní databázi (</w:t>
      </w:r>
      <w:r w:rsidRPr="00E53A3A">
        <w:fldChar w:fldCharType="begin"/>
      </w:r>
      <w:r w:rsidRPr="00E53A3A">
        <w:rPr>
          <w:rFonts w:cs="Times New Roman"/>
        </w:rPr>
        <w:instrText xml:space="preserve"> HYPERLINK "https://www.uskvbl.cz" </w:instrText>
      </w:r>
      <w:r w:rsidRPr="00E53A3A">
        <w:fldChar w:fldCharType="separate"/>
      </w:r>
      <w:r w:rsidRPr="00E53A3A">
        <w:rPr>
          <w:rStyle w:val="Hypertextovodkaz"/>
          <w:rFonts w:eastAsia="Times New Roman" w:cs="Times New Roman"/>
        </w:rPr>
        <w:t>https://www.uskvbl.cz</w:t>
      </w:r>
      <w:r w:rsidRPr="00E53A3A">
        <w:rPr>
          <w:rStyle w:val="Hypertextovodkaz"/>
          <w:rFonts w:eastAsia="Times New Roman" w:cs="Times New Roman"/>
        </w:rPr>
        <w:fldChar w:fldCharType="end"/>
      </w:r>
      <w:r w:rsidRPr="00E53A3A">
        <w:rPr>
          <w:rFonts w:eastAsia="Times New Roman" w:cs="Times New Roman"/>
        </w:rPr>
        <w:t>).</w:t>
      </w:r>
    </w:p>
    <w:bookmarkEnd w:id="2"/>
    <w:p w14:paraId="58674AC0" w14:textId="77777777" w:rsidR="00D209B1" w:rsidRPr="00F927D9" w:rsidRDefault="00D209B1" w:rsidP="00F927D9"/>
    <w:p w14:paraId="50BBD54B" w14:textId="30F3A7E9" w:rsidR="00F927D9" w:rsidRPr="00F927D9" w:rsidRDefault="00F927D9" w:rsidP="00F927D9">
      <w:pPr>
        <w:pStyle w:val="L1"/>
      </w:pPr>
      <w:r>
        <w:rPr>
          <w:lang w:val="cs"/>
        </w:rPr>
        <w:t xml:space="preserve">Kontaktní údaje </w:t>
      </w:r>
    </w:p>
    <w:p w14:paraId="50F28A24" w14:textId="0E7D5470" w:rsidR="00F927D9" w:rsidRPr="00F927D9" w:rsidRDefault="00F927D9" w:rsidP="00F927D9">
      <w:r>
        <w:rPr>
          <w:u w:val="single"/>
          <w:lang w:val="cs"/>
        </w:rPr>
        <w:t>Držitel rozhodnutí o registraci</w:t>
      </w:r>
      <w:r>
        <w:rPr>
          <w:lang w:val="cs"/>
        </w:rPr>
        <w:t>:</w:t>
      </w:r>
    </w:p>
    <w:p w14:paraId="03AA7680" w14:textId="7AA4E025" w:rsidR="00F927D9" w:rsidRPr="00F927D9" w:rsidRDefault="00F927D9" w:rsidP="00F927D9">
      <w:r>
        <w:rPr>
          <w:lang w:val="cs"/>
        </w:rPr>
        <w:t xml:space="preserve">ALPHAVET </w:t>
      </w:r>
      <w:proofErr w:type="spellStart"/>
      <w:r>
        <w:rPr>
          <w:lang w:val="cs"/>
        </w:rPr>
        <w:t>Zrt</w:t>
      </w:r>
      <w:proofErr w:type="spellEnd"/>
      <w:r>
        <w:rPr>
          <w:lang w:val="cs"/>
        </w:rPr>
        <w:t>.</w:t>
      </w:r>
    </w:p>
    <w:p w14:paraId="3D90C3CC" w14:textId="69D84EB4" w:rsidR="00F927D9" w:rsidRPr="00F927D9" w:rsidRDefault="00F927D9" w:rsidP="00F927D9">
      <w:proofErr w:type="spellStart"/>
      <w:r>
        <w:rPr>
          <w:lang w:val="cs"/>
        </w:rPr>
        <w:t>Hofherr</w:t>
      </w:r>
      <w:proofErr w:type="spellEnd"/>
      <w:r>
        <w:rPr>
          <w:lang w:val="cs"/>
        </w:rPr>
        <w:t xml:space="preserve"> A. u. 42., Budapešť, H-1194, Maďarsko</w:t>
      </w:r>
    </w:p>
    <w:p w14:paraId="75B444E5" w14:textId="2A502FD3" w:rsidR="00F927D9" w:rsidRPr="00F927D9" w:rsidRDefault="00F927D9" w:rsidP="00F927D9"/>
    <w:p w14:paraId="1FC3F297" w14:textId="614782B9" w:rsidR="00F927D9" w:rsidRPr="00F927D9" w:rsidRDefault="00F927D9" w:rsidP="00F927D9">
      <w:r>
        <w:rPr>
          <w:u w:val="single"/>
          <w:lang w:val="cs"/>
        </w:rPr>
        <w:t>Výrobce odpovědný za uvolnění šarže</w:t>
      </w:r>
      <w:r>
        <w:rPr>
          <w:lang w:val="cs"/>
        </w:rPr>
        <w:t>:</w:t>
      </w:r>
    </w:p>
    <w:p w14:paraId="3B3E45D3" w14:textId="2237ECC5" w:rsidR="00F927D9" w:rsidRPr="00F927D9" w:rsidRDefault="00F927D9" w:rsidP="00F927D9">
      <w:r>
        <w:rPr>
          <w:lang w:val="cs"/>
        </w:rPr>
        <w:t xml:space="preserve">ALPHAVET </w:t>
      </w:r>
      <w:proofErr w:type="spellStart"/>
      <w:r>
        <w:rPr>
          <w:lang w:val="cs"/>
        </w:rPr>
        <w:t>Zrt</w:t>
      </w:r>
      <w:proofErr w:type="spellEnd"/>
      <w:r>
        <w:rPr>
          <w:lang w:val="cs"/>
        </w:rPr>
        <w:t>.</w:t>
      </w:r>
    </w:p>
    <w:p w14:paraId="5F09879E" w14:textId="2BD0B399" w:rsidR="00F927D9" w:rsidRPr="00F927D9" w:rsidRDefault="00F927D9" w:rsidP="00F927D9">
      <w:r>
        <w:rPr>
          <w:lang w:val="cs"/>
        </w:rPr>
        <w:t xml:space="preserve">Dr. </w:t>
      </w:r>
      <w:proofErr w:type="spellStart"/>
      <w:r>
        <w:rPr>
          <w:lang w:val="cs"/>
        </w:rPr>
        <w:t>Köves</w:t>
      </w:r>
      <w:proofErr w:type="spellEnd"/>
      <w:r>
        <w:rPr>
          <w:lang w:val="cs"/>
        </w:rPr>
        <w:t xml:space="preserve"> János út 13., </w:t>
      </w:r>
      <w:proofErr w:type="spellStart"/>
      <w:r>
        <w:rPr>
          <w:lang w:val="cs"/>
        </w:rPr>
        <w:t>Bábolna</w:t>
      </w:r>
      <w:proofErr w:type="spellEnd"/>
      <w:r>
        <w:rPr>
          <w:lang w:val="cs"/>
        </w:rPr>
        <w:t>, H-2943, Maďarsko</w:t>
      </w:r>
    </w:p>
    <w:p w14:paraId="0BA49BAF" w14:textId="0086BD57" w:rsidR="00F927D9" w:rsidRPr="00F927D9" w:rsidRDefault="00F927D9" w:rsidP="00F927D9"/>
    <w:p w14:paraId="44F52F89" w14:textId="4C1A7464" w:rsidR="00F927D9" w:rsidRPr="00F927D9" w:rsidRDefault="00F927D9" w:rsidP="00F927D9">
      <w:r>
        <w:rPr>
          <w:u w:val="single"/>
          <w:lang w:val="cs"/>
        </w:rPr>
        <w:t>Kontaktní údaje pro účely hlášení podezření na nežádoucí účinky</w:t>
      </w:r>
      <w:r>
        <w:rPr>
          <w:lang w:val="cs"/>
        </w:rPr>
        <w:t>:</w:t>
      </w:r>
    </w:p>
    <w:p w14:paraId="0D2D85FF" w14:textId="568308D2" w:rsidR="00F927D9" w:rsidRPr="00F927D9" w:rsidRDefault="00F927D9" w:rsidP="00F927D9">
      <w:r>
        <w:rPr>
          <w:lang w:val="cs"/>
        </w:rPr>
        <w:t xml:space="preserve">ALPHAVET </w:t>
      </w:r>
      <w:proofErr w:type="spellStart"/>
      <w:r>
        <w:rPr>
          <w:lang w:val="cs"/>
        </w:rPr>
        <w:t>Zrt</w:t>
      </w:r>
      <w:proofErr w:type="spellEnd"/>
      <w:r>
        <w:rPr>
          <w:lang w:val="cs"/>
        </w:rPr>
        <w:t>.</w:t>
      </w:r>
    </w:p>
    <w:p w14:paraId="267A3858" w14:textId="6D2040F1" w:rsidR="00F927D9" w:rsidRPr="00F927D9" w:rsidRDefault="00F927D9" w:rsidP="00F927D9">
      <w:proofErr w:type="spellStart"/>
      <w:r>
        <w:rPr>
          <w:lang w:val="cs"/>
        </w:rPr>
        <w:t>Homoksor</w:t>
      </w:r>
      <w:proofErr w:type="spellEnd"/>
      <w:r>
        <w:rPr>
          <w:lang w:val="cs"/>
        </w:rPr>
        <w:t xml:space="preserve"> 7, </w:t>
      </w:r>
      <w:proofErr w:type="spellStart"/>
      <w:r>
        <w:rPr>
          <w:lang w:val="cs"/>
        </w:rPr>
        <w:t>Székesfehérvár</w:t>
      </w:r>
      <w:proofErr w:type="spellEnd"/>
      <w:r>
        <w:rPr>
          <w:lang w:val="cs"/>
        </w:rPr>
        <w:t>, H-8000, Maďarsko</w:t>
      </w:r>
    </w:p>
    <w:p w14:paraId="39D03DFE" w14:textId="096844F5" w:rsidR="00F927D9" w:rsidRPr="00F927D9" w:rsidRDefault="00F927D9" w:rsidP="00F927D9">
      <w:r>
        <w:rPr>
          <w:lang w:val="cs"/>
        </w:rPr>
        <w:t>Tel.: +36/22-534500</w:t>
      </w:r>
    </w:p>
    <w:p w14:paraId="04E711B1" w14:textId="01D5B8A1" w:rsidR="00F927D9" w:rsidRPr="00F927D9" w:rsidRDefault="00F927D9" w:rsidP="00F927D9">
      <w:r>
        <w:rPr>
          <w:lang w:val="cs"/>
        </w:rPr>
        <w:t xml:space="preserve">E-mail: </w:t>
      </w:r>
      <w:hyperlink r:id="rId10" w:history="1">
        <w:r>
          <w:rPr>
            <w:rStyle w:val="Hypertextovodkaz"/>
            <w:lang w:val="cs"/>
          </w:rPr>
          <w:t>alpha-vet@alpha-vet.hu</w:t>
        </w:r>
      </w:hyperlink>
    </w:p>
    <w:p w14:paraId="2F9E73AA" w14:textId="68F1BC99" w:rsidR="00F927D9" w:rsidRPr="00F927D9" w:rsidRDefault="00F927D9" w:rsidP="00F927D9"/>
    <w:p w14:paraId="53DC4F50" w14:textId="1DB75908" w:rsidR="00F927D9" w:rsidRPr="00F927D9" w:rsidRDefault="00F927D9" w:rsidP="00F927D9">
      <w:r>
        <w:rPr>
          <w:lang w:val="cs"/>
        </w:rPr>
        <w:t>Pokud chcete získat informace o tomto veterinárním léčivém přípravku, kontaktujte prosím příslušného místního zástupce držitele rozhodnutí o registraci.</w:t>
      </w:r>
    </w:p>
    <w:p w14:paraId="45DB9870" w14:textId="1DDF401B" w:rsidR="00F927D9" w:rsidRPr="00F927D9" w:rsidRDefault="00F927D9" w:rsidP="00F927D9">
      <w:pPr>
        <w:pStyle w:val="L1"/>
      </w:pPr>
      <w:r>
        <w:rPr>
          <w:lang w:val="cs"/>
        </w:rPr>
        <w:t xml:space="preserve">Další informace </w:t>
      </w:r>
    </w:p>
    <w:p w14:paraId="7ADB34CF" w14:textId="77777777" w:rsidR="00B40D07" w:rsidRPr="00F927D9" w:rsidRDefault="00B40D07" w:rsidP="00F974DD"/>
    <w:sectPr w:rsidR="00B40D07" w:rsidRPr="00F927D9" w:rsidSect="00B40D07">
      <w:headerReference w:type="default" r:id="rId11"/>
      <w:footerReference w:type="default" r:id="rId12"/>
      <w:pgSz w:w="11907" w:h="16840" w:code="9"/>
      <w:pgMar w:top="1417" w:right="1417" w:bottom="1417" w:left="1417"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B04E4" w14:textId="77777777" w:rsidR="008A0FCE" w:rsidRDefault="008A0FCE" w:rsidP="00B40D07">
      <w:pPr>
        <w:spacing w:line="240" w:lineRule="auto"/>
      </w:pPr>
      <w:r>
        <w:separator/>
      </w:r>
    </w:p>
  </w:endnote>
  <w:endnote w:type="continuationSeparator" w:id="0">
    <w:p w14:paraId="1D4C8304" w14:textId="77777777" w:rsidR="008A0FCE" w:rsidRDefault="008A0FCE" w:rsidP="00B40D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swald">
    <w:altName w:val="Arial Narrow"/>
    <w:charset w:val="EE"/>
    <w:family w:val="auto"/>
    <w:pitch w:val="variable"/>
    <w:sig w:usb0="A00002FF" w:usb1="4000204B" w:usb2="00000000" w:usb3="00000000" w:csb0="00000197"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D562D" w14:textId="3FF53476" w:rsidR="00B40D07" w:rsidRPr="00B40D07" w:rsidRDefault="00B40D07" w:rsidP="00B40D07">
    <w:pPr>
      <w:pStyle w:val="Zpat"/>
      <w:pBdr>
        <w:top w:val="single" w:sz="4" w:space="1" w:color="auto"/>
      </w:pBdr>
      <w:jc w:val="center"/>
    </w:pPr>
    <w:r>
      <w:rPr>
        <w:lang w:val="cs"/>
      </w:rPr>
      <w:t xml:space="preserve">Strana </w:t>
    </w:r>
    <w:r>
      <w:rPr>
        <w:lang w:val="cs"/>
      </w:rPr>
      <w:fldChar w:fldCharType="begin"/>
    </w:r>
    <w:r>
      <w:rPr>
        <w:lang w:val="cs"/>
      </w:rPr>
      <w:instrText>PAGE  \* Arabic  \* MERGEFORMAT</w:instrText>
    </w:r>
    <w:r>
      <w:rPr>
        <w:lang w:val="cs"/>
      </w:rPr>
      <w:fldChar w:fldCharType="separate"/>
    </w:r>
    <w:r>
      <w:rPr>
        <w:lang w:val="cs"/>
      </w:rPr>
      <w:t>1</w:t>
    </w:r>
    <w:r>
      <w:rPr>
        <w:lang w:val="cs"/>
      </w:rPr>
      <w:fldChar w:fldCharType="end"/>
    </w:r>
    <w:r>
      <w:rPr>
        <w:lang w:val="cs"/>
      </w:rPr>
      <w:t xml:space="preserve"> z </w:t>
    </w:r>
    <w:fldSimple w:instr="NUMPAGES  \* Arabic  \* MERGEFORMAT">
      <w:r>
        <w:rPr>
          <w:lang w:val="cs"/>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C4FCA" w14:textId="77777777" w:rsidR="008A0FCE" w:rsidRDefault="008A0FCE" w:rsidP="00B40D07">
      <w:pPr>
        <w:spacing w:line="240" w:lineRule="auto"/>
      </w:pPr>
      <w:r>
        <w:separator/>
      </w:r>
    </w:p>
  </w:footnote>
  <w:footnote w:type="continuationSeparator" w:id="0">
    <w:p w14:paraId="4D4C4F6A" w14:textId="77777777" w:rsidR="008A0FCE" w:rsidRDefault="008A0FCE" w:rsidP="00B40D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08993" w14:textId="77777777" w:rsidR="00AF03E6" w:rsidRDefault="00AF03E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18C4"/>
    <w:multiLevelType w:val="multilevel"/>
    <w:tmpl w:val="E7CADF4C"/>
    <w:lvl w:ilvl="0">
      <w:start w:val="1"/>
      <w:numFmt w:val="decimal"/>
      <w:pStyle w:val="H1Righ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826DA0"/>
    <w:multiLevelType w:val="hybridMultilevel"/>
    <w:tmpl w:val="E51C039E"/>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48B4EA0"/>
    <w:multiLevelType w:val="hybridMultilevel"/>
    <w:tmpl w:val="5170AFFA"/>
    <w:lvl w:ilvl="0" w:tplc="040E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29706D"/>
    <w:multiLevelType w:val="hybridMultilevel"/>
    <w:tmpl w:val="C83C4386"/>
    <w:lvl w:ilvl="0" w:tplc="B628A3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04328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0CCD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A0B4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C07E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E0ED1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3C3A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5A334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841D9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9440169"/>
    <w:multiLevelType w:val="multilevel"/>
    <w:tmpl w:val="81CA9D34"/>
    <w:lvl w:ilvl="0">
      <w:start w:val="1"/>
      <w:numFmt w:val="decimal"/>
      <w:pStyle w:val="H1Left"/>
      <w:lvlText w:val="%1."/>
      <w:lvlJc w:val="left"/>
      <w:pPr>
        <w:ind w:left="360" w:hanging="360"/>
      </w:pPr>
      <w:rPr>
        <w:rFonts w:hint="default"/>
      </w:rPr>
    </w:lvl>
    <w:lvl w:ilvl="1">
      <w:start w:val="1"/>
      <w:numFmt w:val="decimal"/>
      <w:pStyle w:val="H2Left"/>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587C84"/>
    <w:multiLevelType w:val="multilevel"/>
    <w:tmpl w:val="56821B48"/>
    <w:lvl w:ilvl="0">
      <w:start w:val="1"/>
      <w:numFmt w:val="decimal"/>
      <w:pStyle w:val="L1"/>
      <w:lvlText w:val="%1."/>
      <w:lvlJc w:val="left"/>
      <w:pPr>
        <w:ind w:left="360" w:hanging="360"/>
      </w:pPr>
    </w:lvl>
    <w:lvl w:ilvl="1">
      <w:start w:val="1"/>
      <w:numFmt w:val="decimal"/>
      <w:pStyle w:val="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A5E6262"/>
    <w:multiLevelType w:val="hybridMultilevel"/>
    <w:tmpl w:val="33AE03E6"/>
    <w:lvl w:ilvl="0" w:tplc="F872BFA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3891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AAABC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12678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769C1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B22A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FA61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A493E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3C3A4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B3803A8"/>
    <w:multiLevelType w:val="hybridMultilevel"/>
    <w:tmpl w:val="D14A8010"/>
    <w:lvl w:ilvl="0" w:tplc="7FA0B83C">
      <w:start w:val="6"/>
      <w:numFmt w:val="decimal"/>
      <w:lvlText w:val="%1."/>
      <w:lvlJc w:val="left"/>
      <w:pPr>
        <w:ind w:left="7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F42647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98EF82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B0466D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872179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926C45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27CD30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DBE420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CECCEE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AAC6043"/>
    <w:multiLevelType w:val="multilevel"/>
    <w:tmpl w:val="C87E273C"/>
    <w:lvl w:ilvl="0">
      <w:start w:val="1"/>
      <w:numFmt w:val="upperLetter"/>
      <w:pStyle w:val="L10"/>
      <w:lvlText w:val="%1."/>
      <w:lvlJc w:val="left"/>
      <w:pPr>
        <w:ind w:left="720" w:hanging="360"/>
      </w:pPr>
      <w:rPr>
        <w:rFonts w:hint="default"/>
      </w:rPr>
    </w:lvl>
    <w:lvl w:ilvl="1">
      <w:start w:val="1"/>
      <w:numFmt w:val="decimal"/>
      <w:pStyle w:val="L20"/>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0"/>
  </w:num>
  <w:num w:numId="3">
    <w:abstractNumId w:val="4"/>
  </w:num>
  <w:num w:numId="4">
    <w:abstractNumId w:val="4"/>
  </w:num>
  <w:num w:numId="5">
    <w:abstractNumId w:val="0"/>
  </w:num>
  <w:num w:numId="6">
    <w:abstractNumId w:val="4"/>
  </w:num>
  <w:num w:numId="7">
    <w:abstractNumId w:val="5"/>
  </w:num>
  <w:num w:numId="8">
    <w:abstractNumId w:val="6"/>
  </w:num>
  <w:num w:numId="9">
    <w:abstractNumId w:val="7"/>
  </w:num>
  <w:num w:numId="10">
    <w:abstractNumId w:val="2"/>
  </w:num>
  <w:num w:numId="11">
    <w:abstractNumId w:val="8"/>
  </w:num>
  <w:num w:numId="12">
    <w:abstractNumId w:val="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6F8"/>
    <w:rsid w:val="000225EC"/>
    <w:rsid w:val="00075CB5"/>
    <w:rsid w:val="00183295"/>
    <w:rsid w:val="001D783C"/>
    <w:rsid w:val="002455E4"/>
    <w:rsid w:val="002E79A5"/>
    <w:rsid w:val="00303F8A"/>
    <w:rsid w:val="003638D8"/>
    <w:rsid w:val="00385BB8"/>
    <w:rsid w:val="00386F85"/>
    <w:rsid w:val="003C7CBC"/>
    <w:rsid w:val="003E0650"/>
    <w:rsid w:val="004061DF"/>
    <w:rsid w:val="0041173B"/>
    <w:rsid w:val="0045540C"/>
    <w:rsid w:val="00484567"/>
    <w:rsid w:val="00487B52"/>
    <w:rsid w:val="00493434"/>
    <w:rsid w:val="00564807"/>
    <w:rsid w:val="00585756"/>
    <w:rsid w:val="005C4C88"/>
    <w:rsid w:val="00622544"/>
    <w:rsid w:val="006443E3"/>
    <w:rsid w:val="006918BF"/>
    <w:rsid w:val="006B212A"/>
    <w:rsid w:val="006C587B"/>
    <w:rsid w:val="007016DB"/>
    <w:rsid w:val="007B27F1"/>
    <w:rsid w:val="007D73B6"/>
    <w:rsid w:val="0081204A"/>
    <w:rsid w:val="00820D6E"/>
    <w:rsid w:val="00866F3F"/>
    <w:rsid w:val="00885C36"/>
    <w:rsid w:val="0089422D"/>
    <w:rsid w:val="008A0FCE"/>
    <w:rsid w:val="009027E9"/>
    <w:rsid w:val="009629B8"/>
    <w:rsid w:val="0097162C"/>
    <w:rsid w:val="009E31B3"/>
    <w:rsid w:val="009F7BC6"/>
    <w:rsid w:val="00A0667D"/>
    <w:rsid w:val="00A631C4"/>
    <w:rsid w:val="00A65761"/>
    <w:rsid w:val="00A66AC6"/>
    <w:rsid w:val="00AC087A"/>
    <w:rsid w:val="00AF03E6"/>
    <w:rsid w:val="00B40D07"/>
    <w:rsid w:val="00BC5CF3"/>
    <w:rsid w:val="00BC76F8"/>
    <w:rsid w:val="00C5171D"/>
    <w:rsid w:val="00C7163A"/>
    <w:rsid w:val="00CC2773"/>
    <w:rsid w:val="00CF44FD"/>
    <w:rsid w:val="00D209B1"/>
    <w:rsid w:val="00D6697A"/>
    <w:rsid w:val="00E4158D"/>
    <w:rsid w:val="00E51280"/>
    <w:rsid w:val="00E53F47"/>
    <w:rsid w:val="00EA0D4B"/>
    <w:rsid w:val="00EC0F9C"/>
    <w:rsid w:val="00F3434E"/>
    <w:rsid w:val="00F90C7B"/>
    <w:rsid w:val="00F927D9"/>
    <w:rsid w:val="00F95489"/>
    <w:rsid w:val="00F974DD"/>
    <w:rsid w:val="00FB3BA9"/>
    <w:rsid w:val="00FC4BA4"/>
    <w:rsid w:val="00FD4DF7"/>
  </w:rsids>
  <m:mathPr>
    <m:mathFont m:val="Cambria Math"/>
    <m:brkBin m:val="before"/>
    <m:brkBinSub m:val="--"/>
    <m:smallFrac m:val="0"/>
    <m:dispDef/>
    <m:lMargin m:val="0"/>
    <m:rMargin m:val="0"/>
    <m:defJc m:val="centerGroup"/>
    <m:wrapIndent m:val="1440"/>
    <m:intLim m:val="subSup"/>
    <m:naryLim m:val="undOvr"/>
  </m:mathPr>
  <w:themeFontLang w:val="hu-H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980AB"/>
  <w15:chartTrackingRefBased/>
  <w15:docId w15:val="{CF7B746A-8501-43BC-98D5-47AC105E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hu-H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974DD"/>
    <w:pPr>
      <w:spacing w:after="0"/>
      <w:jc w:val="both"/>
    </w:pPr>
    <w:rPr>
      <w:rFonts w:ascii="Times New Roman" w:hAnsi="Times New Roman"/>
    </w:rPr>
  </w:style>
  <w:style w:type="paragraph" w:styleId="Nadpis1">
    <w:name w:val="heading 1"/>
    <w:basedOn w:val="Normln"/>
    <w:next w:val="Normln"/>
    <w:link w:val="Nadpis1Char"/>
    <w:uiPriority w:val="9"/>
    <w:qFormat/>
    <w:rsid w:val="00BC76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BC76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BC76F8"/>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aliases w:val="asd"/>
    <w:basedOn w:val="Normln"/>
    <w:next w:val="Normln"/>
    <w:link w:val="Nadpis4Char"/>
    <w:uiPriority w:val="9"/>
    <w:unhideWhenUsed/>
    <w:qFormat/>
    <w:rsid w:val="007016DB"/>
    <w:pPr>
      <w:keepNext/>
      <w:keepLines/>
      <w:spacing w:before="200" w:line="240" w:lineRule="auto"/>
      <w:outlineLvl w:val="3"/>
    </w:pPr>
    <w:rPr>
      <w:rFonts w:ascii="Cambria" w:eastAsia="MS Gothic" w:hAnsi="Cambria" w:cs="Times New Roman"/>
      <w:b/>
      <w:bCs/>
      <w:i/>
      <w:iCs/>
      <w:color w:val="4F81BD"/>
      <w:sz w:val="18"/>
      <w:szCs w:val="18"/>
      <w:lang w:val="en-GB" w:eastAsia="de-DE"/>
    </w:rPr>
  </w:style>
  <w:style w:type="paragraph" w:styleId="Nadpis5">
    <w:name w:val="heading 5"/>
    <w:basedOn w:val="Normln"/>
    <w:next w:val="Normln"/>
    <w:link w:val="Nadpis5Char"/>
    <w:uiPriority w:val="9"/>
    <w:semiHidden/>
    <w:unhideWhenUsed/>
    <w:qFormat/>
    <w:rsid w:val="00BC76F8"/>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BC76F8"/>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C76F8"/>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C76F8"/>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C76F8"/>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sdd">
    <w:name w:val="asdd"/>
    <w:basedOn w:val="Normln"/>
    <w:link w:val="asddChar"/>
    <w:qFormat/>
    <w:rsid w:val="00F3434E"/>
    <w:pPr>
      <w:spacing w:before="200" w:line="240" w:lineRule="auto"/>
      <w:jc w:val="right"/>
    </w:pPr>
    <w:rPr>
      <w:rFonts w:ascii="Oswald" w:eastAsia="PMingLiU" w:hAnsi="Oswald" w:cs="Arial"/>
      <w:b/>
      <w:sz w:val="32"/>
      <w:szCs w:val="18"/>
      <w:lang w:val="en-GB" w:eastAsia="de-DE"/>
    </w:rPr>
  </w:style>
  <w:style w:type="character" w:customStyle="1" w:styleId="asddChar">
    <w:name w:val="asdd Char"/>
    <w:link w:val="asdd"/>
    <w:rsid w:val="00F3434E"/>
    <w:rPr>
      <w:rFonts w:ascii="Oswald" w:eastAsia="PMingLiU" w:hAnsi="Oswald" w:cs="Arial"/>
      <w:b/>
      <w:sz w:val="32"/>
      <w:szCs w:val="18"/>
      <w:lang w:val="en-GB" w:eastAsia="de-DE"/>
    </w:rPr>
  </w:style>
  <w:style w:type="character" w:customStyle="1" w:styleId="Nadpis4Char">
    <w:name w:val="Nadpis 4 Char"/>
    <w:aliases w:val="asd Char"/>
    <w:link w:val="Nadpis4"/>
    <w:uiPriority w:val="9"/>
    <w:rsid w:val="007016DB"/>
    <w:rPr>
      <w:rFonts w:ascii="Cambria" w:eastAsia="MS Gothic" w:hAnsi="Cambria" w:cs="Times New Roman"/>
      <w:b/>
      <w:bCs/>
      <w:i/>
      <w:iCs/>
      <w:color w:val="4F81BD"/>
      <w:sz w:val="18"/>
      <w:szCs w:val="18"/>
      <w:lang w:val="en-GB" w:eastAsia="de-DE"/>
    </w:rPr>
  </w:style>
  <w:style w:type="paragraph" w:customStyle="1" w:styleId="H1Left">
    <w:name w:val="_H1_Left"/>
    <w:basedOn w:val="Zhlav"/>
    <w:qFormat/>
    <w:rsid w:val="0045540C"/>
    <w:pPr>
      <w:numPr>
        <w:numId w:val="6"/>
      </w:numPr>
      <w:tabs>
        <w:tab w:val="clear" w:pos="4536"/>
        <w:tab w:val="clear" w:pos="9072"/>
      </w:tabs>
    </w:pPr>
    <w:rPr>
      <w:rFonts w:ascii="Arial" w:eastAsia="Times New Roman" w:hAnsi="Arial" w:cs="Times New Roman"/>
      <w:b/>
      <w:vanish/>
      <w:sz w:val="32"/>
      <w:szCs w:val="20"/>
      <w:lang w:val="de-CH" w:eastAsia="de-CH"/>
    </w:rPr>
  </w:style>
  <w:style w:type="paragraph" w:styleId="Zhlav">
    <w:name w:val="header"/>
    <w:basedOn w:val="Normln"/>
    <w:link w:val="ZhlavChar"/>
    <w:uiPriority w:val="99"/>
    <w:unhideWhenUsed/>
    <w:rsid w:val="00564807"/>
    <w:pPr>
      <w:tabs>
        <w:tab w:val="center" w:pos="4536"/>
        <w:tab w:val="right" w:pos="9072"/>
      </w:tabs>
      <w:spacing w:line="240" w:lineRule="auto"/>
    </w:pPr>
  </w:style>
  <w:style w:type="character" w:customStyle="1" w:styleId="ZhlavChar">
    <w:name w:val="Záhlaví Char"/>
    <w:basedOn w:val="Standardnpsmoodstavce"/>
    <w:link w:val="Zhlav"/>
    <w:uiPriority w:val="99"/>
    <w:rsid w:val="00564807"/>
  </w:style>
  <w:style w:type="paragraph" w:customStyle="1" w:styleId="H1Right">
    <w:name w:val="_H1_Right"/>
    <w:basedOn w:val="Zhlav"/>
    <w:qFormat/>
    <w:rsid w:val="00564807"/>
    <w:pPr>
      <w:numPr>
        <w:numId w:val="5"/>
      </w:numPr>
      <w:tabs>
        <w:tab w:val="clear" w:pos="4536"/>
        <w:tab w:val="clear" w:pos="9072"/>
      </w:tabs>
    </w:pPr>
    <w:rPr>
      <w:rFonts w:ascii="Arial" w:eastAsia="Times New Roman" w:hAnsi="Arial" w:cs="Times New Roman"/>
      <w:b/>
      <w:sz w:val="32"/>
      <w:szCs w:val="20"/>
      <w:lang w:val="de-CH" w:eastAsia="de-CH"/>
    </w:rPr>
  </w:style>
  <w:style w:type="paragraph" w:customStyle="1" w:styleId="H2Left">
    <w:name w:val="_H2_Left"/>
    <w:basedOn w:val="H1Left"/>
    <w:qFormat/>
    <w:rsid w:val="0045540C"/>
    <w:pPr>
      <w:numPr>
        <w:ilvl w:val="1"/>
      </w:numPr>
    </w:pPr>
    <w:rPr>
      <w:sz w:val="22"/>
      <w:szCs w:val="14"/>
    </w:rPr>
  </w:style>
  <w:style w:type="character" w:customStyle="1" w:styleId="Nadpis1Char">
    <w:name w:val="Nadpis 1 Char"/>
    <w:basedOn w:val="Standardnpsmoodstavce"/>
    <w:link w:val="Nadpis1"/>
    <w:uiPriority w:val="9"/>
    <w:rsid w:val="00BC76F8"/>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BC76F8"/>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BC76F8"/>
    <w:rPr>
      <w:rFonts w:eastAsiaTheme="majorEastAsia" w:cstheme="majorBidi"/>
      <w:color w:val="2F5496" w:themeColor="accent1" w:themeShade="BF"/>
      <w:sz w:val="28"/>
      <w:szCs w:val="28"/>
    </w:rPr>
  </w:style>
  <w:style w:type="character" w:customStyle="1" w:styleId="Nadpis5Char">
    <w:name w:val="Nadpis 5 Char"/>
    <w:basedOn w:val="Standardnpsmoodstavce"/>
    <w:link w:val="Nadpis5"/>
    <w:uiPriority w:val="9"/>
    <w:semiHidden/>
    <w:rsid w:val="00BC76F8"/>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BC76F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C76F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C76F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C76F8"/>
    <w:rPr>
      <w:rFonts w:eastAsiaTheme="majorEastAsia" w:cstheme="majorBidi"/>
      <w:color w:val="272727" w:themeColor="text1" w:themeTint="D8"/>
    </w:rPr>
  </w:style>
  <w:style w:type="paragraph" w:styleId="Nzev">
    <w:name w:val="Title"/>
    <w:basedOn w:val="Normln"/>
    <w:next w:val="Normln"/>
    <w:link w:val="NzevChar"/>
    <w:uiPriority w:val="10"/>
    <w:qFormat/>
    <w:rsid w:val="00BC76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C76F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C76F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C76F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C76F8"/>
    <w:pPr>
      <w:spacing w:before="160"/>
      <w:jc w:val="center"/>
    </w:pPr>
    <w:rPr>
      <w:i/>
      <w:iCs/>
      <w:color w:val="404040" w:themeColor="text1" w:themeTint="BF"/>
    </w:rPr>
  </w:style>
  <w:style w:type="character" w:customStyle="1" w:styleId="CittChar">
    <w:name w:val="Citát Char"/>
    <w:basedOn w:val="Standardnpsmoodstavce"/>
    <w:link w:val="Citt"/>
    <w:uiPriority w:val="29"/>
    <w:rsid w:val="00BC76F8"/>
    <w:rPr>
      <w:i/>
      <w:iCs/>
      <w:color w:val="404040" w:themeColor="text1" w:themeTint="BF"/>
    </w:rPr>
  </w:style>
  <w:style w:type="paragraph" w:styleId="Odstavecseseznamem">
    <w:name w:val="List Paragraph"/>
    <w:basedOn w:val="Normln"/>
    <w:uiPriority w:val="34"/>
    <w:qFormat/>
    <w:rsid w:val="00BC76F8"/>
    <w:pPr>
      <w:ind w:left="720"/>
      <w:contextualSpacing/>
    </w:pPr>
  </w:style>
  <w:style w:type="character" w:styleId="Zdraznnintenzivn">
    <w:name w:val="Intense Emphasis"/>
    <w:basedOn w:val="Standardnpsmoodstavce"/>
    <w:uiPriority w:val="21"/>
    <w:qFormat/>
    <w:rsid w:val="00BC76F8"/>
    <w:rPr>
      <w:i/>
      <w:iCs/>
      <w:color w:val="2F5496" w:themeColor="accent1" w:themeShade="BF"/>
    </w:rPr>
  </w:style>
  <w:style w:type="paragraph" w:styleId="Vrazncitt">
    <w:name w:val="Intense Quote"/>
    <w:basedOn w:val="Normln"/>
    <w:next w:val="Normln"/>
    <w:link w:val="VrazncittChar"/>
    <w:uiPriority w:val="30"/>
    <w:qFormat/>
    <w:rsid w:val="00BC76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BC76F8"/>
    <w:rPr>
      <w:i/>
      <w:iCs/>
      <w:color w:val="2F5496" w:themeColor="accent1" w:themeShade="BF"/>
    </w:rPr>
  </w:style>
  <w:style w:type="character" w:styleId="Odkazintenzivn">
    <w:name w:val="Intense Reference"/>
    <w:basedOn w:val="Standardnpsmoodstavce"/>
    <w:uiPriority w:val="32"/>
    <w:qFormat/>
    <w:rsid w:val="00BC76F8"/>
    <w:rPr>
      <w:b/>
      <w:bCs/>
      <w:smallCaps/>
      <w:color w:val="2F5496" w:themeColor="accent1" w:themeShade="BF"/>
      <w:spacing w:val="5"/>
    </w:rPr>
  </w:style>
  <w:style w:type="paragraph" w:customStyle="1" w:styleId="L1">
    <w:name w:val="_L1"/>
    <w:basedOn w:val="Odstavecseseznamem"/>
    <w:qFormat/>
    <w:rsid w:val="00B40D07"/>
    <w:pPr>
      <w:keepNext/>
      <w:keepLines/>
      <w:numPr>
        <w:numId w:val="7"/>
      </w:numPr>
      <w:spacing w:before="240" w:after="240"/>
      <w:ind w:left="851" w:hanging="851"/>
      <w:contextualSpacing w:val="0"/>
    </w:pPr>
    <w:rPr>
      <w:b/>
      <w:bCs/>
    </w:rPr>
  </w:style>
  <w:style w:type="paragraph" w:customStyle="1" w:styleId="L2">
    <w:name w:val="_L2"/>
    <w:basedOn w:val="L1"/>
    <w:qFormat/>
    <w:rsid w:val="00B40D07"/>
    <w:pPr>
      <w:numPr>
        <w:ilvl w:val="1"/>
      </w:numPr>
      <w:ind w:left="851" w:hanging="851"/>
    </w:pPr>
    <w:rPr>
      <w:lang w:val="en-GB"/>
    </w:rPr>
  </w:style>
  <w:style w:type="paragraph" w:styleId="Zpat">
    <w:name w:val="footer"/>
    <w:basedOn w:val="Normln"/>
    <w:link w:val="ZpatChar"/>
    <w:uiPriority w:val="99"/>
    <w:unhideWhenUsed/>
    <w:rsid w:val="00B40D07"/>
    <w:pPr>
      <w:tabs>
        <w:tab w:val="center" w:pos="4536"/>
        <w:tab w:val="right" w:pos="9072"/>
      </w:tabs>
      <w:spacing w:line="240" w:lineRule="auto"/>
    </w:pPr>
  </w:style>
  <w:style w:type="character" w:customStyle="1" w:styleId="ZpatChar">
    <w:name w:val="Zápatí Char"/>
    <w:basedOn w:val="Standardnpsmoodstavce"/>
    <w:link w:val="Zpat"/>
    <w:uiPriority w:val="99"/>
    <w:rsid w:val="00B40D07"/>
    <w:rPr>
      <w:rFonts w:ascii="Times New Roman" w:hAnsi="Times New Roman"/>
    </w:rPr>
  </w:style>
  <w:style w:type="character" w:styleId="Hypertextovodkaz">
    <w:name w:val="Hyperlink"/>
    <w:basedOn w:val="Standardnpsmoodstavce"/>
    <w:uiPriority w:val="99"/>
    <w:unhideWhenUsed/>
    <w:rsid w:val="009629B8"/>
    <w:rPr>
      <w:color w:val="0563C1" w:themeColor="hyperlink"/>
      <w:u w:val="single"/>
    </w:rPr>
  </w:style>
  <w:style w:type="character" w:styleId="Nevyeenzmnka">
    <w:name w:val="Unresolved Mention"/>
    <w:basedOn w:val="Standardnpsmoodstavce"/>
    <w:uiPriority w:val="99"/>
    <w:semiHidden/>
    <w:unhideWhenUsed/>
    <w:rsid w:val="009629B8"/>
    <w:rPr>
      <w:color w:val="605E5C"/>
      <w:shd w:val="clear" w:color="auto" w:fill="E1DFDD"/>
    </w:rPr>
  </w:style>
  <w:style w:type="paragraph" w:customStyle="1" w:styleId="L10">
    <w:name w:val="__L1"/>
    <w:basedOn w:val="Odstavecseseznamem"/>
    <w:qFormat/>
    <w:rsid w:val="000225EC"/>
    <w:pPr>
      <w:keepNext/>
      <w:keepLines/>
      <w:numPr>
        <w:numId w:val="11"/>
      </w:numPr>
      <w:spacing w:before="240" w:after="240"/>
      <w:ind w:left="425" w:hanging="425"/>
      <w:contextualSpacing w:val="0"/>
      <w:jc w:val="center"/>
    </w:pPr>
    <w:rPr>
      <w:b/>
      <w:bCs/>
      <w:lang w:val="en-GB"/>
    </w:rPr>
  </w:style>
  <w:style w:type="paragraph" w:customStyle="1" w:styleId="L20">
    <w:name w:val="__L2"/>
    <w:basedOn w:val="L10"/>
    <w:qFormat/>
    <w:rsid w:val="000225EC"/>
    <w:pPr>
      <w:numPr>
        <w:ilvl w:val="1"/>
      </w:numPr>
      <w:pBdr>
        <w:top w:val="single" w:sz="4" w:space="1" w:color="auto"/>
        <w:left w:val="single" w:sz="4" w:space="4" w:color="auto"/>
        <w:bottom w:val="single" w:sz="4" w:space="1" w:color="auto"/>
        <w:right w:val="single" w:sz="4" w:space="4" w:color="auto"/>
      </w:pBdr>
      <w:ind w:left="426" w:hanging="426"/>
      <w:jc w:val="left"/>
    </w:pPr>
  </w:style>
  <w:style w:type="paragraph" w:styleId="Textbubliny">
    <w:name w:val="Balloon Text"/>
    <w:basedOn w:val="Normln"/>
    <w:link w:val="TextbublinyChar"/>
    <w:uiPriority w:val="99"/>
    <w:semiHidden/>
    <w:unhideWhenUsed/>
    <w:rsid w:val="00303F8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3F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96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icines.health.europa.eu/veterinar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lpha-vet@alpha-vet.hu" TargetMode="External"/><Relationship Id="rId4" Type="http://schemas.openxmlformats.org/officeDocument/2006/relationships/webSettings" Target="webSettings.xml"/><Relationship Id="rId9" Type="http://schemas.openxmlformats.org/officeDocument/2006/relationships/hyperlink" Target="https://medicines.health.europa.eu/veterinary"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1547</Words>
  <Characters>9133</Characters>
  <Application>Microsoft Office Word</Application>
  <DocSecurity>0</DocSecurity>
  <Lines>76</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EDIMART</dc:creator>
  <cp:keywords/>
  <dc:description/>
  <cp:lastModifiedBy>Neugebauerová Kateřina</cp:lastModifiedBy>
  <cp:revision>16</cp:revision>
  <cp:lastPrinted>2025-04-23T10:01:00Z</cp:lastPrinted>
  <dcterms:created xsi:type="dcterms:W3CDTF">2025-02-10T13:02:00Z</dcterms:created>
  <dcterms:modified xsi:type="dcterms:W3CDTF">2025-04-23T10:01:00Z</dcterms:modified>
</cp:coreProperties>
</file>