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1152" w14:textId="3CDBA24C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50EE083D" w14:textId="56BEE2B4" w:rsidR="003226FF" w:rsidRDefault="003226FF" w:rsidP="00A61BDC">
      <w:pPr>
        <w:tabs>
          <w:tab w:val="clear" w:pos="567"/>
        </w:tabs>
        <w:spacing w:line="240" w:lineRule="auto"/>
        <w:rPr>
          <w:szCs w:val="22"/>
        </w:rPr>
      </w:pPr>
    </w:p>
    <w:p w14:paraId="740BE55C" w14:textId="076AEFB0" w:rsidR="003226FF" w:rsidRDefault="003226FF" w:rsidP="00A61BDC">
      <w:pPr>
        <w:tabs>
          <w:tab w:val="clear" w:pos="567"/>
        </w:tabs>
        <w:spacing w:line="240" w:lineRule="auto"/>
        <w:rPr>
          <w:szCs w:val="22"/>
        </w:rPr>
      </w:pPr>
    </w:p>
    <w:p w14:paraId="2C79F0C1" w14:textId="5D15F055" w:rsidR="003226FF" w:rsidRDefault="003226FF" w:rsidP="00A61BDC">
      <w:pPr>
        <w:tabs>
          <w:tab w:val="clear" w:pos="567"/>
        </w:tabs>
        <w:spacing w:line="240" w:lineRule="auto"/>
        <w:rPr>
          <w:szCs w:val="22"/>
        </w:rPr>
      </w:pPr>
    </w:p>
    <w:p w14:paraId="2DB1CD03" w14:textId="77777777" w:rsidR="003226FF" w:rsidRPr="006414D3" w:rsidRDefault="003226FF" w:rsidP="00A61BDC">
      <w:pPr>
        <w:tabs>
          <w:tab w:val="clear" w:pos="567"/>
        </w:tabs>
        <w:spacing w:line="240" w:lineRule="auto"/>
        <w:rPr>
          <w:szCs w:val="22"/>
        </w:rPr>
      </w:pPr>
    </w:p>
    <w:p w14:paraId="2564580C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1592955C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3378AB76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37569AD2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107E32AC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546AB5CB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1CCD0743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009C5901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090F2FAB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26A45E5C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0AC4A6FC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3546CC2E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7813CC7F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2A992D25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5165B031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45253A24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403457F6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331F4CE3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52D5761B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220DB40" w14:textId="77777777" w:rsidR="00A61BDC" w:rsidRPr="006414D3" w:rsidRDefault="00A61BDC" w:rsidP="00A61BDC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2188003E" w14:textId="77777777" w:rsidR="00A61BDC" w:rsidRPr="006414D3" w:rsidRDefault="00A61BDC" w:rsidP="00A61BDC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797E03C4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72636DB6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B74D487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7C0A3128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2E0CBDF3" w14:textId="77777777" w:rsidR="00A61BDC" w:rsidRPr="00855BC0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Phenosan</w:t>
      </w:r>
      <w:proofErr w:type="spellEnd"/>
      <w:r>
        <w:t xml:space="preserve"> 12,5/50/100 mg žvýkací tablety pro psy</w:t>
      </w:r>
    </w:p>
    <w:p w14:paraId="39DFD4D7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5AF51378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06F8DADC" w14:textId="77777777" w:rsidR="00A61BDC" w:rsidRDefault="00A61BDC" w:rsidP="00A61BDC">
      <w:pPr>
        <w:tabs>
          <w:tab w:val="clear" w:pos="567"/>
        </w:tabs>
        <w:spacing w:line="240" w:lineRule="auto"/>
        <w:rPr>
          <w:b/>
          <w:szCs w:val="22"/>
        </w:rPr>
      </w:pPr>
    </w:p>
    <w:p w14:paraId="13F0CB7E" w14:textId="77777777" w:rsidR="00A61BDC" w:rsidRPr="00D55051" w:rsidRDefault="00A61BDC" w:rsidP="00A61BDC">
      <w:pPr>
        <w:tabs>
          <w:tab w:val="clear" w:pos="567"/>
        </w:tabs>
        <w:spacing w:line="240" w:lineRule="auto"/>
        <w:rPr>
          <w:bCs/>
          <w:szCs w:val="22"/>
        </w:rPr>
      </w:pPr>
      <w:r>
        <w:t>Každá žvýkací tableta obsahuje:</w:t>
      </w:r>
    </w:p>
    <w:p w14:paraId="17BB62A3" w14:textId="77777777" w:rsidR="00A61BDC" w:rsidRDefault="00A61BDC" w:rsidP="00A61BDC">
      <w:pPr>
        <w:tabs>
          <w:tab w:val="clear" w:pos="567"/>
        </w:tabs>
        <w:spacing w:line="240" w:lineRule="auto"/>
        <w:rPr>
          <w:b/>
          <w:szCs w:val="22"/>
        </w:rPr>
      </w:pPr>
    </w:p>
    <w:p w14:paraId="0AC3D418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15AC5E22" w14:textId="77777777" w:rsidR="00A61BDC" w:rsidRDefault="00A61BDC" w:rsidP="00A61B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A407C9" w14:textId="059BC051" w:rsidR="00A61BDC" w:rsidRPr="00A61BDC" w:rsidRDefault="00E569CC" w:rsidP="00A61BDC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Phenobarbitalum</w:t>
      </w:r>
      <w:proofErr w:type="spellEnd"/>
      <w:r w:rsidR="00A61BDC">
        <w:tab/>
      </w:r>
      <w:r w:rsidR="00A61BDC">
        <w:tab/>
        <w:t>12,5/50/100 mg</w:t>
      </w:r>
    </w:p>
    <w:p w14:paraId="7FCB5DCB" w14:textId="77777777" w:rsidR="00A61BDC" w:rsidRPr="00A61BDC" w:rsidRDefault="00A61BDC" w:rsidP="00A61B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DA224B" w14:textId="77777777" w:rsidR="00A61BDC" w:rsidRP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12,5 mg: Bílé nebo téměř bílé, kulaté konvexní žvýkací tablety s dělicí rýhou ve tvaru kříže na jedné straně o průměru 7 mm</w:t>
      </w:r>
    </w:p>
    <w:p w14:paraId="4662604D" w14:textId="77777777" w:rsidR="00A61BDC" w:rsidRPr="00A61BDC" w:rsidRDefault="00A61BDC" w:rsidP="00A61BDC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>50 mg: Bílé nebo téměř bílé, kulaté konvexní žvýkací tablety s dělicí rýhou ve tvaru kříže na jedné straně o průměru 13 mm</w:t>
      </w:r>
    </w:p>
    <w:p w14:paraId="471547A2" w14:textId="77777777" w:rsidR="00A61BDC" w:rsidRDefault="00A61BDC" w:rsidP="00A61BDC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>100 mg: Bílé nebo téměř bílé, kulaté konvexní žvýkací tablety s dělicí rýhou ve tvaru kříže na jedné straně o průměru 16 mm</w:t>
      </w:r>
    </w:p>
    <w:p w14:paraId="1669EDA4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78CE739B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23360901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B044367" w14:textId="130F6709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Psi. </w:t>
      </w:r>
      <w:r>
        <w:rPr>
          <w:noProof/>
        </w:rPr>
        <w:drawing>
          <wp:inline distT="0" distB="0" distL="0" distR="0" wp14:anchorId="207604A8" wp14:editId="6CEB1EF4">
            <wp:extent cx="601980" cy="434340"/>
            <wp:effectExtent l="0" t="0" r="0" b="0"/>
            <wp:docPr id="15" name="Afbeelding 5" descr="Afbeelding met hond, silhouet, schets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Afbeelding met hond, silhouet, schets, zoogd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AB0AB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5278597A" w14:textId="77777777" w:rsidR="00A61BDC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6E0D707D" w14:textId="77777777" w:rsidR="00A61BDC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14A15D14" w14:textId="432DA510" w:rsidR="00A61BDC" w:rsidRPr="00264CF2" w:rsidRDefault="00107FDF" w:rsidP="00A61BDC">
      <w:pPr>
        <w:tabs>
          <w:tab w:val="clear" w:pos="567"/>
        </w:tabs>
        <w:spacing w:line="240" w:lineRule="auto"/>
        <w:rPr>
          <w:szCs w:val="22"/>
        </w:rPr>
      </w:pPr>
      <w:r>
        <w:t>Prevence epileptických záchvatů a snížení frekvence</w:t>
      </w:r>
      <w:r w:rsidR="00A61BDC">
        <w:t xml:space="preserve">, závažnosti a trvání záchvatů v důsledku idiopatické epilepsie. </w:t>
      </w:r>
    </w:p>
    <w:p w14:paraId="0D7C90E0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7ECE9539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563FA038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1F26F90" w14:textId="77777777" w:rsidR="00A61BDC" w:rsidRPr="00264CF2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Nepoužívat v případě přecitlivělosti na léčivou látku nebo jiné barbituráty. </w:t>
      </w:r>
    </w:p>
    <w:p w14:paraId="2CAEE4BE" w14:textId="405DC095" w:rsidR="00A61BDC" w:rsidRPr="00264CF2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Nepoužívat u zvířat se závažným onemocněním jater, závažným onemocněním ledvin nebo kardiovaskulární</w:t>
      </w:r>
      <w:r w:rsidR="00107FDF">
        <w:t>ho systému</w:t>
      </w:r>
      <w:r>
        <w:t>.</w:t>
      </w:r>
    </w:p>
    <w:p w14:paraId="4C8A2969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B63798F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623B49AD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17864CE3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upozornění:</w:t>
      </w:r>
    </w:p>
    <w:p w14:paraId="16406E8B" w14:textId="67B1DC6F" w:rsidR="00A61BDC" w:rsidRDefault="00107FDF" w:rsidP="00A61BDC">
      <w:pPr>
        <w:tabs>
          <w:tab w:val="clear" w:pos="567"/>
        </w:tabs>
        <w:spacing w:line="240" w:lineRule="auto"/>
        <w:rPr>
          <w:szCs w:val="22"/>
        </w:rPr>
      </w:pPr>
      <w:r w:rsidRPr="00BE5530">
        <w:rPr>
          <w:color w:val="000000"/>
          <w:szCs w:val="22"/>
        </w:rPr>
        <w:t xml:space="preserve">U každého případu je potřebné individuálně posoudit, zda by měla být zahájena </w:t>
      </w:r>
      <w:proofErr w:type="spellStart"/>
      <w:r w:rsidRPr="00BE5530">
        <w:rPr>
          <w:color w:val="000000"/>
          <w:szCs w:val="22"/>
        </w:rPr>
        <w:t>antiepileptická</w:t>
      </w:r>
      <w:proofErr w:type="spellEnd"/>
      <w:r w:rsidRPr="00BE5530">
        <w:rPr>
          <w:color w:val="000000"/>
          <w:szCs w:val="22"/>
        </w:rPr>
        <w:t xml:space="preserve"> léčba fenobarbitalem v závislost</w:t>
      </w:r>
      <w:r w:rsidDel="00107FDF">
        <w:t xml:space="preserve"> </w:t>
      </w:r>
      <w:r w:rsidR="00A61BDC">
        <w:t xml:space="preserve">na počtu, frekvenci, trvání a závažnosti záchvatů u psů. </w:t>
      </w:r>
    </w:p>
    <w:p w14:paraId="40DD8850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Včasná léčba je opodstatněná, protože opakované záchvaty mohou vytvořit další záchvatová ložiska.</w:t>
      </w:r>
    </w:p>
    <w:p w14:paraId="0DC33949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15795F4B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Je třeba sledovat terapeutické sérové koncentrace fenobarbitalu, aby bylo možné použít nejnižší účinnou dávku. Individuální variabilita metabolismu fenobarbitalu je vysoká. Vzhledem k </w:t>
      </w:r>
      <w:proofErr w:type="spellStart"/>
      <w:r>
        <w:t>autoindukci</w:t>
      </w:r>
      <w:proofErr w:type="spellEnd"/>
      <w:r>
        <w:t xml:space="preserve"> jaterních </w:t>
      </w:r>
      <w:proofErr w:type="spellStart"/>
      <w:r>
        <w:t>mikrosomálních</w:t>
      </w:r>
      <w:proofErr w:type="spellEnd"/>
      <w:r>
        <w:t xml:space="preserve"> enzymů může být v průběhu času nutné zvyšovat dávky, aby se udržela stejná koncentrace v séru. </w:t>
      </w:r>
    </w:p>
    <w:p w14:paraId="2E3E5780" w14:textId="77777777" w:rsidR="00107FDF" w:rsidRDefault="00107FDF" w:rsidP="00107FDF">
      <w:pPr>
        <w:tabs>
          <w:tab w:val="clear" w:pos="567"/>
        </w:tabs>
        <w:spacing w:line="240" w:lineRule="auto"/>
        <w:rPr>
          <w:szCs w:val="22"/>
        </w:rPr>
      </w:pPr>
      <w:r>
        <w:t>Někteří léčení psi jsou úplně bez epileptických záchvatů, někteří vykazují pouze snížení počtu záchvatů a někteří jsou považováni za nereagující.</w:t>
      </w:r>
    </w:p>
    <w:p w14:paraId="592B6EE7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724A81AF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bezpečné použití u cílových druhů zvířat</w:t>
      </w:r>
      <w:r>
        <w:t>:</w:t>
      </w:r>
    </w:p>
    <w:p w14:paraId="2F5E1AC0" w14:textId="34E3B22E" w:rsidR="00A61BDC" w:rsidRPr="00264CF2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Opatrnosti </w:t>
      </w:r>
      <w:r w:rsidR="00107FDF">
        <w:t>se doporuču</w:t>
      </w:r>
      <w:r>
        <w:t>je u zvířat s poruchou funkce jater a/nebo ledvin, hypovolemií, anémií a srdeční nebo respirační dysfunkcí.</w:t>
      </w:r>
    </w:p>
    <w:p w14:paraId="4834FB1C" w14:textId="77777777" w:rsidR="00A61BDC" w:rsidRPr="00264CF2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Doporučuje se provést laboratorní vyšetření pacienta (hematologické a biochemické vyšetření, včetně vyšetření funkce jater a štítné žlázy) před zahájením léčby a poté sledování 2–3 týdny po zahájení léčby a následně každých 4–6 měsíců. </w:t>
      </w:r>
    </w:p>
    <w:p w14:paraId="2D270063" w14:textId="77777777" w:rsidR="00107FDF" w:rsidRPr="00264CF2" w:rsidRDefault="00107FDF" w:rsidP="00107FDF">
      <w:pPr>
        <w:tabs>
          <w:tab w:val="clear" w:pos="567"/>
        </w:tabs>
        <w:spacing w:line="240" w:lineRule="auto"/>
        <w:rPr>
          <w:szCs w:val="22"/>
        </w:rPr>
      </w:pPr>
      <w:r>
        <w:t xml:space="preserve">Pravděpodobnost </w:t>
      </w:r>
      <w:proofErr w:type="spellStart"/>
      <w:r>
        <w:t>hepatotoxických</w:t>
      </w:r>
      <w:proofErr w:type="spellEnd"/>
      <w:r>
        <w:t xml:space="preserve"> nežádoucích účinků může být snížena nebo oddálena podáním co nejnižší možné účinné dávky.</w:t>
      </w:r>
    </w:p>
    <w:p w14:paraId="0DA0C03D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6AFB8EB8" w14:textId="77777777" w:rsidR="00A61BDC" w:rsidRPr="00264CF2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V případě podezření na </w:t>
      </w:r>
      <w:proofErr w:type="spellStart"/>
      <w:r>
        <w:t>hepatotoxicitu</w:t>
      </w:r>
      <w:proofErr w:type="spellEnd"/>
      <w:r>
        <w:t xml:space="preserve"> se doporučuje provést testy jaterních funkcí. V případě akutního jaterního selhání nebo chronického poškození jaterních buněk musí být fenobarbital vysazen a nahrazen jiným typem </w:t>
      </w:r>
      <w:proofErr w:type="spellStart"/>
      <w:r>
        <w:t>antiepileptické</w:t>
      </w:r>
      <w:proofErr w:type="spellEnd"/>
      <w:r>
        <w:t xml:space="preserve"> léčby. </w:t>
      </w:r>
    </w:p>
    <w:p w14:paraId="4F9F0947" w14:textId="77777777" w:rsidR="00A61BDC" w:rsidRPr="00264CF2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Vysazení fenobarbitalu nebo přechod na jiný typ </w:t>
      </w:r>
      <w:proofErr w:type="spellStart"/>
      <w:r>
        <w:t>antiepileptické</w:t>
      </w:r>
      <w:proofErr w:type="spellEnd"/>
      <w:r>
        <w:t xml:space="preserve"> léčby nebo z ní by měl být prováděn postupně, aby nedošlo k urychlení zvýšení frekvence záchvatů.</w:t>
      </w:r>
    </w:p>
    <w:p w14:paraId="2333B9F1" w14:textId="77777777" w:rsidR="00A61BDC" w:rsidRPr="00264CF2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U stabilizovaných pacientů s epilepsií je třeba dbát opatrnosti při přechodu mezi jednotlivými přípravky na bázi fenobarbitalu</w:t>
      </w:r>
    </w:p>
    <w:p w14:paraId="12712187" w14:textId="77777777" w:rsidR="00A61BDC" w:rsidRPr="00264CF2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Tablety jsou ochucené. Uchovávejte tablety mimo dosah zvířat, aby se zabránilo náhodnému požití.</w:t>
      </w:r>
    </w:p>
    <w:p w14:paraId="191FFCC1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7B30413D" w14:textId="77777777" w:rsidR="00A61BDC" w:rsidRPr="006414D3" w:rsidRDefault="00A61BDC" w:rsidP="00986655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osobu, která podává veterinární léčivý přípravek zvířatům</w:t>
      </w:r>
      <w:r>
        <w:t>:</w:t>
      </w:r>
    </w:p>
    <w:p w14:paraId="0543CC28" w14:textId="741547C3" w:rsidR="00A61BDC" w:rsidRPr="005573B6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Fenobarbital může způsobit závažné nežádoucí účinky, jako je </w:t>
      </w:r>
      <w:proofErr w:type="spellStart"/>
      <w:r>
        <w:t>sedace</w:t>
      </w:r>
      <w:proofErr w:type="spellEnd"/>
      <w:r>
        <w:t>, dezorientace, ataxie, nystagmus, a u dětí mohou být smrtelné. Abyste zabránili náhodnému požití, věnujte maximální pozornost tomu, aby se děti nedostaly do kontaktu s tabletami nebo nespotřebovanými částmi tablet. Je třeba dbát na to, aby nedošlo k dlouhodobému kontaktu s kůží, včetně kontaktu rukou s ústy. Před použitím uchovávejte tablety v původním obalu. Nespotřebované části tablet vložte do otevřeného prostoru v blistru a uložte zpět do krabičky, pečlivě uschovejte mimo dosah dětí a spotřebujte při dalším podání. Během používání přípravku nekuřte, nejezte a nepijte</w:t>
      </w:r>
      <w:r w:rsidR="00DE1F32">
        <w:t>.</w:t>
      </w:r>
    </w:p>
    <w:p w14:paraId="14FBCBE9" w14:textId="77777777" w:rsidR="00A61BDC" w:rsidRPr="005573B6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V případě náhodného požití vyhledejte ihned lékařskou pomoc a ukažte příbalovou informaci nebo etiketu praktickému lékaři. </w:t>
      </w:r>
    </w:p>
    <w:p w14:paraId="1ACA7806" w14:textId="77777777" w:rsidR="00A61BDC" w:rsidRPr="005573B6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46B3181" w14:textId="77777777" w:rsidR="00A61BDC" w:rsidRPr="005573B6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Fenobarbital a vanilin mohou způsobit reakce z přecitlivělosti. Lidé se známou přecitlivělostí na fenobarbital nebo vanilin by se měli vyhnout kontaktu s veterinárním léčivým přípravkem. V případě závažných reakcí z přecitlivělosti vyhledejte lékařskou pomoc.</w:t>
      </w:r>
    </w:p>
    <w:p w14:paraId="7F570BF5" w14:textId="77777777" w:rsidR="00A61BDC" w:rsidRPr="005573B6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Fenobarbital je teratogenní a může být toxický pro nenarozené a kojené děti; může ovlivnit vývoj mozku a vést ke kognitivním poruchám. Fenobarbital se vylučuje do mateřského mléka. Těhotné ženy, ženy ve fertilním věku a kojící ženy by se měly vyhnout kožnímu kontaktu s veterinárním léčivým přípravkem, včetně kontaktu rukou s ústy.</w:t>
      </w:r>
    </w:p>
    <w:p w14:paraId="4972BE00" w14:textId="77777777" w:rsidR="00A61BDC" w:rsidRPr="005573B6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Při podávání veterinárního léčivého přípravku je vhodné používat jednorázové rukavice. Po použití si umyjte ruce. </w:t>
      </w:r>
    </w:p>
    <w:p w14:paraId="51EFD38D" w14:textId="77777777" w:rsidR="00A61BDC" w:rsidRDefault="00A61BDC" w:rsidP="00A61BDC">
      <w:pPr>
        <w:rPr>
          <w:szCs w:val="22"/>
          <w:u w:val="single"/>
        </w:rPr>
      </w:pPr>
    </w:p>
    <w:p w14:paraId="7893A1FC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 laktace</w:t>
      </w:r>
      <w:r>
        <w:t>:</w:t>
      </w:r>
    </w:p>
    <w:p w14:paraId="52BA319D" w14:textId="77777777" w:rsidR="00A61BDC" w:rsidRPr="005A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Bezpečnost veterinárního léčivého přípravku nebyla během březosti a laktace u psů stanovena.</w:t>
      </w:r>
    </w:p>
    <w:p w14:paraId="4C0E319F" w14:textId="77777777" w:rsidR="00A61BDC" w:rsidRPr="006E6D39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57927594" w14:textId="77777777" w:rsidR="00A61BDC" w:rsidRPr="00EE0B9C" w:rsidRDefault="00A61BDC" w:rsidP="00A61BDC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Březost:</w:t>
      </w:r>
    </w:p>
    <w:p w14:paraId="28B5A049" w14:textId="77777777" w:rsidR="00A61BDC" w:rsidRPr="005A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Studie prokázaly, že fenobarbital prochází placentou u laboratorních zvířat i u lidí. Studie na laboratorních zvířatech prokázaly teratogenní a vývojové účinky. Fenobarbital působí během prenatálního růstu, zejména způsobuje trvalé změny v neurologickém a sexuálním vývoji. </w:t>
      </w:r>
    </w:p>
    <w:p w14:paraId="5AD2CB1D" w14:textId="77777777" w:rsidR="00A61BDC" w:rsidRPr="005A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Používejte pouze v souladu s posouzením přínosů a rizik odpovědným veterinárním lékařem.</w:t>
      </w:r>
    </w:p>
    <w:p w14:paraId="63C6F305" w14:textId="77777777" w:rsidR="00A61BDC" w:rsidRPr="005A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Riziko, že lék může způsobit zvýšení počtu vrozených vad, je třeba porovnat s rizikem přerušení léčby během březosti. </w:t>
      </w:r>
    </w:p>
    <w:p w14:paraId="6265FEB3" w14:textId="77777777" w:rsidR="00A61BDC" w:rsidRPr="006E6D39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7DE90AD7" w14:textId="77777777" w:rsidR="00A61BDC" w:rsidRPr="005A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Laktace:</w:t>
      </w:r>
    </w:p>
    <w:p w14:paraId="0F590710" w14:textId="2CEE4178" w:rsidR="00107FDF" w:rsidRDefault="00A61BDC" w:rsidP="00107FDF">
      <w:pPr>
        <w:tabs>
          <w:tab w:val="clear" w:pos="567"/>
        </w:tabs>
        <w:spacing w:line="240" w:lineRule="auto"/>
        <w:rPr>
          <w:szCs w:val="22"/>
        </w:rPr>
      </w:pPr>
      <w:r>
        <w:t xml:space="preserve">Studie na laboratorních zvířatech a lidech prokázaly, že fenobarbital se vylučuje do mléka. Štěňata by měla být pečlivě sledována, zda nedochází k farmakologickým účinkům, jako je </w:t>
      </w:r>
      <w:proofErr w:type="spellStart"/>
      <w:r>
        <w:t>sedace</w:t>
      </w:r>
      <w:proofErr w:type="spellEnd"/>
      <w:r>
        <w:t xml:space="preserve">. </w:t>
      </w:r>
      <w:r w:rsidR="00107FDF">
        <w:t>Pokud se u sajících novorozenců objeví somnolence / sedativní účinky (které by mohly narušit sání), měla by být zvolena metoda umělé výživy.</w:t>
      </w:r>
    </w:p>
    <w:p w14:paraId="0EAF8058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Používejte pouze v souladu s posouzením přínosů a rizik odpovědným veterinárním lékařem.</w:t>
      </w:r>
    </w:p>
    <w:p w14:paraId="7DDB6AA2" w14:textId="77777777" w:rsidR="00A61BDC" w:rsidRPr="006E6D39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596D1AB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 jinými léčivými přípravky a další formy interakce:</w:t>
      </w:r>
    </w:p>
    <w:p w14:paraId="65F68108" w14:textId="5BA42ABE" w:rsidR="00A61BDC" w:rsidRPr="004E154E" w:rsidRDefault="00107FDF" w:rsidP="00A61BDC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Fenobarbital indukuje jak plazmatické bílkoviny, jako je ɑ1</w:t>
      </w:r>
      <w:r w:rsidRPr="00AD7505">
        <w:t xml:space="preserve"> </w:t>
      </w:r>
      <w:r>
        <w:t>kyselý glykoprotein</w:t>
      </w:r>
      <w:r w:rsidR="00A61BDC">
        <w:t xml:space="preserve">, tak jaterní </w:t>
      </w:r>
      <w:proofErr w:type="spellStart"/>
      <w:r w:rsidR="00A61BDC">
        <w:t>mikrosomální</w:t>
      </w:r>
      <w:proofErr w:type="spellEnd"/>
      <w:r w:rsidR="00A61BDC">
        <w:t xml:space="preserve"> enzymy cytochromu P450 (CYP), což může vést k lékovým interakcím. Proto je třeba věnovat zvláštní pozornost farmakokinetice a dávkám současně podávaných léčiv.</w:t>
      </w:r>
    </w:p>
    <w:p w14:paraId="3CC11009" w14:textId="77777777" w:rsidR="00A61BDC" w:rsidRPr="004E154E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 </w:t>
      </w:r>
    </w:p>
    <w:p w14:paraId="5590F3F9" w14:textId="77777777" w:rsidR="00A61BDC" w:rsidRPr="004E154E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Indukce plazmatických bílkovin vede ke zvýšené vazbě na plazmatické bílkoviny, a tím ke snížení nevázané frakce látek v plazmě. Indukce enzymů CYP může vést k vyššímu metabolismu látek metabolizovaných těmito enzymy, a tím k nižší koncentraci látek v plazmě, včetně samotného fenobarbitalu. </w:t>
      </w:r>
    </w:p>
    <w:p w14:paraId="34EC74F8" w14:textId="77777777" w:rsidR="00A61BDC" w:rsidRPr="004E154E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E501BF1" w14:textId="77777777" w:rsidR="00A61BDC" w:rsidRPr="004E154E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Terapeutický účinek benzodiazepinů, jako je diazepam, může být u zvířat chronicky léčených fenobarbitalem snížen. To je důležité zejména v případech </w:t>
      </w:r>
      <w:r>
        <w:rPr>
          <w:i/>
        </w:rPr>
        <w:t xml:space="preserve">status </w:t>
      </w:r>
      <w:proofErr w:type="spellStart"/>
      <w:r>
        <w:rPr>
          <w:i/>
        </w:rPr>
        <w:t>epilepticus</w:t>
      </w:r>
      <w:proofErr w:type="spellEnd"/>
      <w:r>
        <w:t xml:space="preserve"> u zvířat chronicky léčených fenobarbitalem.</w:t>
      </w:r>
    </w:p>
    <w:p w14:paraId="124CE231" w14:textId="77777777" w:rsidR="00A61BDC" w:rsidRPr="004E154E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2A8E2C2C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Plazmatické koncentrace, a tím i terapeutické účinky jiných antiepileptik, jako je </w:t>
      </w:r>
      <w:proofErr w:type="spellStart"/>
      <w:r>
        <w:t>levetiracetam</w:t>
      </w:r>
      <w:proofErr w:type="spellEnd"/>
      <w:r>
        <w:t xml:space="preserve"> a </w:t>
      </w:r>
      <w:proofErr w:type="spellStart"/>
      <w:r>
        <w:t>zonisamid</w:t>
      </w:r>
      <w:proofErr w:type="spellEnd"/>
      <w:r>
        <w:t xml:space="preserve">, mohou být při současném užívání fenobarbitalu sníženy. </w:t>
      </w:r>
    </w:p>
    <w:p w14:paraId="2B415A92" w14:textId="77777777" w:rsidR="00A61BDC" w:rsidRPr="004E154E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Fenobarbital je synergický s jinými GABA-</w:t>
      </w:r>
      <w:proofErr w:type="spellStart"/>
      <w:r>
        <w:t>ergickými</w:t>
      </w:r>
      <w:proofErr w:type="spellEnd"/>
      <w:r>
        <w:t xml:space="preserve"> léky, jako je bromid.</w:t>
      </w:r>
    </w:p>
    <w:p w14:paraId="053C4A91" w14:textId="77777777" w:rsidR="00A61BDC" w:rsidRPr="004E154E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750540A3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Jelikož je fenobarbital částečně metabolizován enzymy CYP, mohou látky, které inhibují aktivitu enzymů CYP, způsobit zvýšení plazmatické koncentrace fenobarbitalu. Několik látek bylo identifikováno jako inhibitory CYP u lidí a laboratorních zvířat a/nebo ve studiích </w:t>
      </w:r>
      <w:r>
        <w:rPr>
          <w:i/>
        </w:rPr>
        <w:t>in vitro</w:t>
      </w:r>
      <w:r>
        <w:t xml:space="preserve">. Klinický dopad těchto interakcí je považován za nízký, pokud jsou tyto látky používány v terapeutických dávkách, avšak možné interakce nelze zcela vyloučit. Příklady takových látek jsou: </w:t>
      </w:r>
      <w:proofErr w:type="spellStart"/>
      <w:r>
        <w:t>ketokonazol</w:t>
      </w:r>
      <w:proofErr w:type="spellEnd"/>
      <w:r>
        <w:t xml:space="preserve">, griseofulvin, chloramfenikol, ɑ2-agonisté jako </w:t>
      </w:r>
      <w:proofErr w:type="spellStart"/>
      <w:r>
        <w:t>medetomidin</w:t>
      </w:r>
      <w:proofErr w:type="spellEnd"/>
      <w:r>
        <w:t xml:space="preserve"> a </w:t>
      </w:r>
      <w:proofErr w:type="spellStart"/>
      <w:r>
        <w:t>xylazin</w:t>
      </w:r>
      <w:proofErr w:type="spellEnd"/>
      <w:r>
        <w:t xml:space="preserve">, </w:t>
      </w:r>
      <w:proofErr w:type="spellStart"/>
      <w:r>
        <w:t>atipamezol</w:t>
      </w:r>
      <w:proofErr w:type="spellEnd"/>
      <w:r>
        <w:t xml:space="preserve">, </w:t>
      </w:r>
      <w:proofErr w:type="spellStart"/>
      <w:r>
        <w:t>propofol</w:t>
      </w:r>
      <w:proofErr w:type="spellEnd"/>
      <w:r>
        <w:t>.</w:t>
      </w:r>
    </w:p>
    <w:p w14:paraId="658DB49C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0856A735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7F594A42" w14:textId="77777777" w:rsidR="00A61BDC" w:rsidRPr="00205C78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Příznaky předávkování:</w:t>
      </w:r>
    </w:p>
    <w:p w14:paraId="1F82B40C" w14:textId="77777777" w:rsidR="00A61BDC" w:rsidRPr="00205C78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- deprese centrálního nervového systému projevující se příznaky od spánku až po kóma,</w:t>
      </w:r>
    </w:p>
    <w:p w14:paraId="744203C0" w14:textId="77777777" w:rsidR="00A61BDC" w:rsidRPr="00205C78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- ohrožení dýchacích cest,</w:t>
      </w:r>
    </w:p>
    <w:p w14:paraId="2396E353" w14:textId="77777777" w:rsidR="00A61BDC" w:rsidRPr="00205C78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- kardiovaskulární komplikace, hypotenze a šok vedoucí k selhání ledvin a smrti.</w:t>
      </w:r>
    </w:p>
    <w:p w14:paraId="6E9BA351" w14:textId="77777777" w:rsidR="00A61BDC" w:rsidRPr="00205C78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V případě předávkování odstraňte požitý přípravek ze žaludku a podle potřeby poskytněte podporu dýchání a kardiovaskulárního systému.</w:t>
      </w:r>
    </w:p>
    <w:p w14:paraId="63D55528" w14:textId="77777777" w:rsidR="00A61BDC" w:rsidRPr="00205C78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Hlavním cílem léčby je intenzivní symptomatická a podpůrná terapie, přičemž zvláštní pozornost je věnována udržení kardiovaskulárních, respiračních a renálních funkcí a udržení elektrolytové rovnováhy.</w:t>
      </w:r>
    </w:p>
    <w:p w14:paraId="0A30CDC1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Specifické </w:t>
      </w:r>
      <w:proofErr w:type="spellStart"/>
      <w:r>
        <w:t>antidotum</w:t>
      </w:r>
      <w:proofErr w:type="spellEnd"/>
      <w:r>
        <w:t xml:space="preserve"> neexistuje, ale </w:t>
      </w:r>
      <w:proofErr w:type="spellStart"/>
      <w:r>
        <w:t>clearance</w:t>
      </w:r>
      <w:proofErr w:type="spellEnd"/>
      <w:r>
        <w:t xml:space="preserve"> fenobarbitalu může být zvýšena hemodialýzou nebo peritoneální dialýzou.</w:t>
      </w:r>
    </w:p>
    <w:p w14:paraId="0D522003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22A2BDBA" w14:textId="77777777" w:rsidR="00A61BDC" w:rsidRDefault="00A61BDC" w:rsidP="00A61BDC">
      <w:pPr>
        <w:rPr>
          <w:szCs w:val="22"/>
          <w:u w:val="single"/>
        </w:rPr>
      </w:pPr>
      <w:r>
        <w:rPr>
          <w:u w:val="single"/>
        </w:rPr>
        <w:t>Hlavní inkompatibility:</w:t>
      </w:r>
    </w:p>
    <w:p w14:paraId="5855499B" w14:textId="77777777" w:rsidR="00A61BDC" w:rsidRPr="00802127" w:rsidRDefault="00A61BDC" w:rsidP="00A61BDC">
      <w:pPr>
        <w:rPr>
          <w:szCs w:val="22"/>
        </w:rPr>
      </w:pPr>
      <w:r>
        <w:t xml:space="preserve">Neuplatňuje se. </w:t>
      </w:r>
    </w:p>
    <w:p w14:paraId="5AF5B29F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1ED26C82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09997C8A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4B6E48" w14:textId="77777777" w:rsidR="00A61BDC" w:rsidRPr="00065036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>
        <w:t>Psi:</w:t>
      </w:r>
    </w:p>
    <w:p w14:paraId="48D2AA2E" w14:textId="77777777" w:rsidR="00A61BDC" w:rsidRPr="006414D3" w:rsidRDefault="00A61BDC" w:rsidP="00A61BDC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61BDC" w14:paraId="6ABCD1C1" w14:textId="77777777" w:rsidTr="002A47CE">
        <w:tc>
          <w:tcPr>
            <w:tcW w:w="1957" w:type="pct"/>
          </w:tcPr>
          <w:p w14:paraId="54D78160" w14:textId="77777777" w:rsidR="00A61BDC" w:rsidRPr="006414D3" w:rsidRDefault="00A61BDC" w:rsidP="002A47CE">
            <w:pPr>
              <w:spacing w:before="60" w:after="60"/>
              <w:rPr>
                <w:szCs w:val="22"/>
              </w:rPr>
            </w:pPr>
            <w:r>
              <w:t>Velmi časté</w:t>
            </w:r>
          </w:p>
          <w:p w14:paraId="6A8B1178" w14:textId="77777777" w:rsidR="00A61BDC" w:rsidRPr="006414D3" w:rsidRDefault="00A61BDC" w:rsidP="002A47CE">
            <w:pPr>
              <w:spacing w:before="60" w:after="60"/>
              <w:rPr>
                <w:szCs w:val="22"/>
              </w:rPr>
            </w:pPr>
            <w:r>
              <w:t>(&gt; 1 zvíře / 10 ošetřených zvířat):</w:t>
            </w:r>
          </w:p>
        </w:tc>
        <w:tc>
          <w:tcPr>
            <w:tcW w:w="3043" w:type="pct"/>
            <w:hideMark/>
          </w:tcPr>
          <w:p w14:paraId="742A2160" w14:textId="77777777" w:rsidR="00A61BDC" w:rsidRPr="00DE410A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t>polyfagie</w:t>
            </w:r>
            <w:r>
              <w:rPr>
                <w:vertAlign w:val="superscript"/>
              </w:rPr>
              <w:t>1</w:t>
            </w:r>
            <w:r>
              <w:t>, polydipsie</w:t>
            </w:r>
            <w:r>
              <w:rPr>
                <w:vertAlign w:val="superscript"/>
              </w:rPr>
              <w:t>1</w:t>
            </w:r>
            <w:r>
              <w:t>, letargie</w:t>
            </w:r>
            <w:r>
              <w:rPr>
                <w:vertAlign w:val="superscript"/>
              </w:rPr>
              <w:t>1</w:t>
            </w:r>
            <w:r>
              <w:t>,</w:t>
            </w:r>
          </w:p>
          <w:p w14:paraId="0F4F5896" w14:textId="77777777" w:rsidR="00A61BDC" w:rsidRPr="00BC69EA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t xml:space="preserve">polyurie, </w:t>
            </w:r>
          </w:p>
          <w:p w14:paraId="72063DF1" w14:textId="77777777" w:rsidR="00A61BDC" w:rsidRPr="00DE410A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t>sedace</w:t>
            </w:r>
            <w:r>
              <w:rPr>
                <w:vertAlign w:val="superscript"/>
              </w:rPr>
              <w:t>1</w:t>
            </w:r>
            <w:r>
              <w:t>, ataxie</w:t>
            </w:r>
            <w:r>
              <w:rPr>
                <w:vertAlign w:val="superscript"/>
              </w:rPr>
              <w:t>1</w:t>
            </w:r>
            <w:r>
              <w:t>,</w:t>
            </w:r>
          </w:p>
          <w:p w14:paraId="74834361" w14:textId="77777777" w:rsidR="00A61BDC" w:rsidRPr="00DE410A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t>zvýšené hodnoty jaterních enzymů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 w:rsidR="00A61BDC" w14:paraId="119C6DD6" w14:textId="77777777" w:rsidTr="002A47CE">
        <w:tc>
          <w:tcPr>
            <w:tcW w:w="1957" w:type="pct"/>
          </w:tcPr>
          <w:p w14:paraId="68C7BA25" w14:textId="77777777" w:rsidR="00A61BDC" w:rsidRPr="00DE410A" w:rsidRDefault="00A61BDC" w:rsidP="002A47CE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513CFFE5" w14:textId="77777777" w:rsidR="00A61BDC" w:rsidRPr="00DE410A" w:rsidRDefault="00A61BDC" w:rsidP="002A47CE">
            <w:pPr>
              <w:spacing w:before="60" w:after="60"/>
              <w:rPr>
                <w:szCs w:val="22"/>
              </w:rPr>
            </w:pPr>
            <w:r>
              <w:t>(1 až 10 zvířat / 100 ošetřených zvířat):</w:t>
            </w:r>
          </w:p>
        </w:tc>
        <w:tc>
          <w:tcPr>
            <w:tcW w:w="3043" w:type="pct"/>
          </w:tcPr>
          <w:p w14:paraId="2C31E7F5" w14:textId="77777777" w:rsidR="00A61BDC" w:rsidRPr="006414D3" w:rsidRDefault="00A61BDC" w:rsidP="002A47CE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t>hyperexcitace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  <w:tr w:rsidR="00A61BDC" w14:paraId="4BC8B03E" w14:textId="77777777" w:rsidTr="002A47CE">
        <w:tc>
          <w:tcPr>
            <w:tcW w:w="1957" w:type="pct"/>
          </w:tcPr>
          <w:p w14:paraId="392E5753" w14:textId="77777777" w:rsidR="00A61BDC" w:rsidRPr="00DE410A" w:rsidRDefault="00A61BDC" w:rsidP="002A47CE">
            <w:pPr>
              <w:spacing w:before="60" w:after="60"/>
              <w:rPr>
                <w:szCs w:val="22"/>
              </w:rPr>
            </w:pPr>
            <w:r>
              <w:t>Neobvyklé</w:t>
            </w:r>
          </w:p>
          <w:p w14:paraId="41D8E7EA" w14:textId="77777777" w:rsidR="00A61BDC" w:rsidRPr="00DE410A" w:rsidRDefault="00A61BDC" w:rsidP="002A47CE">
            <w:pPr>
              <w:spacing w:before="60" w:after="60"/>
              <w:rPr>
                <w:szCs w:val="22"/>
              </w:rPr>
            </w:pPr>
            <w:r>
              <w:lastRenderedPageBreak/>
              <w:t>(1 až 10 zvířat / 1 000 ošetřených zvířat):</w:t>
            </w:r>
          </w:p>
        </w:tc>
        <w:tc>
          <w:tcPr>
            <w:tcW w:w="3043" w:type="pct"/>
          </w:tcPr>
          <w:p w14:paraId="3945D0E7" w14:textId="4408A0B4" w:rsidR="00A61BDC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lastRenderedPageBreak/>
              <w:t>krevní dyskr</w:t>
            </w:r>
            <w:r w:rsidR="00F04016">
              <w:t>a</w:t>
            </w:r>
            <w:r>
              <w:t xml:space="preserve">zie (jako je anémie a/nebo trombocytopenie a/nebo </w:t>
            </w:r>
            <w:proofErr w:type="spellStart"/>
            <w:r>
              <w:t>neutropenie</w:t>
            </w:r>
            <w:proofErr w:type="spellEnd"/>
            <w:r>
              <w:t>)</w:t>
            </w:r>
            <w:r>
              <w:rPr>
                <w:vertAlign w:val="superscript"/>
              </w:rPr>
              <w:t xml:space="preserve"> 4</w:t>
            </w:r>
            <w:r>
              <w:t>,</w:t>
            </w:r>
          </w:p>
          <w:p w14:paraId="466C000A" w14:textId="77777777" w:rsidR="00A61BDC" w:rsidRPr="00D42854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lastRenderedPageBreak/>
              <w:t>hypoalbuminémie</w:t>
            </w:r>
            <w:r>
              <w:rPr>
                <w:vertAlign w:val="superscript"/>
              </w:rPr>
              <w:t>4</w:t>
            </w:r>
            <w:r>
              <w:t>, zvýšené sérové lipidy,</w:t>
            </w:r>
          </w:p>
          <w:p w14:paraId="384A5C78" w14:textId="77777777" w:rsidR="00A61BDC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t>dyskineze</w:t>
            </w:r>
            <w:r>
              <w:rPr>
                <w:vertAlign w:val="superscript"/>
              </w:rPr>
              <w:t>4</w:t>
            </w:r>
            <w:r>
              <w:t>,</w:t>
            </w:r>
          </w:p>
          <w:p w14:paraId="17CA4375" w14:textId="77777777" w:rsidR="00A61BDC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t>úzkost</w:t>
            </w:r>
            <w:r>
              <w:rPr>
                <w:vertAlign w:val="superscript"/>
              </w:rPr>
              <w:t>4</w:t>
            </w:r>
            <w:r>
              <w:t>,</w:t>
            </w:r>
          </w:p>
          <w:p w14:paraId="458AAD81" w14:textId="77777777" w:rsidR="00A61BDC" w:rsidRPr="00F93D1D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t>jaterní toxikóza</w:t>
            </w:r>
            <w:r>
              <w:rPr>
                <w:vertAlign w:val="superscript"/>
              </w:rPr>
              <w:t>5</w:t>
            </w:r>
            <w:r>
              <w:t>,</w:t>
            </w:r>
          </w:p>
          <w:p w14:paraId="742F0B12" w14:textId="77777777" w:rsidR="00A61BDC" w:rsidRPr="00E8064C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t>pankreatitida.</w:t>
            </w:r>
          </w:p>
        </w:tc>
      </w:tr>
      <w:tr w:rsidR="00A61BDC" w14:paraId="13ECA407" w14:textId="77777777" w:rsidTr="002A47CE">
        <w:tc>
          <w:tcPr>
            <w:tcW w:w="1957" w:type="pct"/>
          </w:tcPr>
          <w:p w14:paraId="6D1E1A5B" w14:textId="77777777" w:rsidR="00A61BDC" w:rsidRDefault="00A61BDC" w:rsidP="002A47CE">
            <w:pPr>
              <w:spacing w:before="60" w:after="60"/>
              <w:rPr>
                <w:szCs w:val="22"/>
              </w:rPr>
            </w:pPr>
            <w:r>
              <w:lastRenderedPageBreak/>
              <w:t>Neurčitá frekvence</w:t>
            </w:r>
          </w:p>
          <w:p w14:paraId="36E5FB1D" w14:textId="77777777" w:rsidR="00A61BDC" w:rsidRPr="002C017D" w:rsidRDefault="00A61BDC" w:rsidP="002A47CE">
            <w:pPr>
              <w:spacing w:before="60" w:after="60"/>
              <w:rPr>
                <w:szCs w:val="22"/>
                <w:highlight w:val="magenta"/>
              </w:rPr>
            </w:pPr>
            <w:r>
              <w:t>(nelze odhadnout z dostupných údajů)</w:t>
            </w:r>
          </w:p>
        </w:tc>
        <w:tc>
          <w:tcPr>
            <w:tcW w:w="3043" w:type="pct"/>
          </w:tcPr>
          <w:p w14:paraId="2FDF4A4C" w14:textId="77777777" w:rsidR="00A61BDC" w:rsidRPr="00B078DD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t>průjem, zvracení,</w:t>
            </w:r>
          </w:p>
          <w:p w14:paraId="24321962" w14:textId="77777777" w:rsidR="00A61BDC" w:rsidRDefault="00A61BDC" w:rsidP="002A47CE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t>dermatitida</w:t>
            </w:r>
            <w:r>
              <w:rPr>
                <w:vertAlign w:val="superscript"/>
              </w:rPr>
              <w:t>6</w:t>
            </w:r>
            <w:r>
              <w:t>,</w:t>
            </w:r>
          </w:p>
          <w:p w14:paraId="31047AED" w14:textId="77777777" w:rsidR="00A61BDC" w:rsidRPr="003E7780" w:rsidRDefault="00A61BDC" w:rsidP="002A47CE">
            <w:pPr>
              <w:spacing w:before="60" w:after="60"/>
              <w:rPr>
                <w:iCs/>
                <w:szCs w:val="22"/>
              </w:rPr>
            </w:pPr>
            <w:r>
              <w:t>nízká hladina tyroxinu (T4)</w:t>
            </w:r>
            <w:r>
              <w:rPr>
                <w:vertAlign w:val="superscript"/>
              </w:rPr>
              <w:t>7</w:t>
            </w:r>
            <w:r>
              <w:t>.</w:t>
            </w:r>
          </w:p>
        </w:tc>
      </w:tr>
    </w:tbl>
    <w:p w14:paraId="785D506B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1</w:t>
      </w:r>
      <w:r>
        <w:t xml:space="preserve"> Tyto nežádoucí účinky jsou obvykle přechodné (10–21 dní) a odezní při pokračující léčbě.</w:t>
      </w:r>
    </w:p>
    <w:p w14:paraId="2EE31BB3" w14:textId="77777777" w:rsidR="00A61BDC" w:rsidRPr="00A65E1A" w:rsidRDefault="00A61BDC" w:rsidP="00A61BDC">
      <w:pPr>
        <w:tabs>
          <w:tab w:val="clear" w:pos="567"/>
        </w:tabs>
        <w:spacing w:line="240" w:lineRule="auto"/>
        <w:rPr>
          <w:szCs w:val="22"/>
          <w:vertAlign w:val="superscript"/>
        </w:rPr>
      </w:pPr>
      <w:r>
        <w:rPr>
          <w:vertAlign w:val="superscript"/>
        </w:rPr>
        <w:t>2</w:t>
      </w:r>
      <w:r>
        <w:t xml:space="preserve"> Mohou </w:t>
      </w:r>
      <w:bookmarkStart w:id="0" w:name="_Hlk174716841"/>
      <w:r>
        <w:t xml:space="preserve">souviset s </w:t>
      </w:r>
      <w:bookmarkEnd w:id="0"/>
      <w:r>
        <w:t xml:space="preserve">nepatologickými změnami, ale mohou také představovat </w:t>
      </w:r>
      <w:proofErr w:type="spellStart"/>
      <w:r>
        <w:t>hepatotoxicitu</w:t>
      </w:r>
      <w:proofErr w:type="spellEnd"/>
      <w:r>
        <w:t>.</w:t>
      </w:r>
    </w:p>
    <w:p w14:paraId="59AA5B32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3</w:t>
      </w:r>
      <w:r>
        <w:t xml:space="preserve"> Zejména po zahájení léčby. Protože tato </w:t>
      </w:r>
      <w:proofErr w:type="spellStart"/>
      <w:r>
        <w:t>hyperexcitace</w:t>
      </w:r>
      <w:proofErr w:type="spellEnd"/>
      <w:r>
        <w:t xml:space="preserve"> není spojena s předávkováním, není třeba snižovat dávkování.</w:t>
      </w:r>
    </w:p>
    <w:p w14:paraId="77797DB4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4</w:t>
      </w:r>
      <w:r>
        <w:t xml:space="preserve"> Reverzibilní při snížení dávky nebo přerušení léčby fenobarbitalem.</w:t>
      </w:r>
    </w:p>
    <w:p w14:paraId="0AD85BDA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5</w:t>
      </w:r>
      <w:r>
        <w:t xml:space="preserve"> Souvisí s dlouhodobým užíváním fenobarbitalu a vysokými terapeutickými dávkami (&gt; 20 mg/kg/den) nebo vysokými sérovými koncentracemi (≥ 35 µg/ml). Jakékoli změny jsou reverzibilní po vysazení léku, pokud jsou zjištěny v časném stádiu onemocnění.</w:t>
      </w:r>
    </w:p>
    <w:p w14:paraId="29487E9B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6</w:t>
      </w:r>
      <w:r>
        <w:t xml:space="preserve"> Povrchová </w:t>
      </w:r>
      <w:proofErr w:type="spellStart"/>
      <w:r>
        <w:t>nekrolytická</w:t>
      </w:r>
      <w:proofErr w:type="spellEnd"/>
      <w:r>
        <w:t xml:space="preserve"> dermatitida </w:t>
      </w:r>
      <w:bookmarkStart w:id="1" w:name="_Hlk174716861"/>
      <w:r>
        <w:t>jako součást syndromu přecitlivělosti na antikonvulziva (AHS)</w:t>
      </w:r>
      <w:bookmarkEnd w:id="1"/>
      <w:r>
        <w:t xml:space="preserve">. </w:t>
      </w:r>
    </w:p>
    <w:p w14:paraId="5D2DD3ED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7</w:t>
      </w:r>
      <w:r>
        <w:t xml:space="preserve"> Nižší hladina celkového T4 nebo volného T4 v séru nemusí být známkou hypotyreózy. Léčba substitucí hormonů štítné žlázy by měla být zahájena pouze v případě klinických příznaků onemocnění.</w:t>
      </w:r>
    </w:p>
    <w:p w14:paraId="42282036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688DCA" w14:textId="3B59F04B" w:rsidR="00A61BDC" w:rsidRDefault="00A61BDC" w:rsidP="00311AB0">
      <w:r>
        <w:t xml:space="preserve">Hlášení nežádoucích účinků je důležité. Umožňuje nepřetržité sledování bezpečnosti přípravku. Pokud si všimnete jakýchkoli nežádoucích účinků, a to i těch, které nejsou uvedeny v této příbalové informaci, nebo si myslíte, že přípravek neúčinkuje, obraťte se v první řadě na svého veterinárního lékaře. Jakékoli nežádoucí účinky můžete také hlásit držiteli rozhodnutí o registraci nebo místnímu zástupci držitele rozhodnutí o registraci pomocí kontaktních údajů uvedených na konci této příbalové informace nebo prostřednictvím národního systému hlášení: </w:t>
      </w:r>
      <w:r w:rsidR="00A406B2">
        <w:br/>
      </w:r>
    </w:p>
    <w:p w14:paraId="3FFD9FEB" w14:textId="77777777" w:rsidR="00F04016" w:rsidRDefault="00F04016" w:rsidP="00F04016">
      <w:pPr>
        <w:jc w:val="both"/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7FECD242" w14:textId="5F796930" w:rsidR="00F04016" w:rsidRDefault="00F04016" w:rsidP="00F04016">
      <w:pPr>
        <w:jc w:val="both"/>
        <w:rPr>
          <w:szCs w:val="22"/>
        </w:rPr>
      </w:pPr>
      <w:r>
        <w:rPr>
          <w:szCs w:val="22"/>
        </w:rPr>
        <w:t>Hudcova 232/56 a</w:t>
      </w:r>
    </w:p>
    <w:p w14:paraId="3B4B30A7" w14:textId="77777777" w:rsidR="00F04016" w:rsidRDefault="00F04016" w:rsidP="00F04016">
      <w:pPr>
        <w:jc w:val="both"/>
        <w:rPr>
          <w:szCs w:val="22"/>
        </w:rPr>
      </w:pPr>
      <w:r>
        <w:rPr>
          <w:szCs w:val="22"/>
        </w:rPr>
        <w:t>621 00 Brno</w:t>
      </w:r>
    </w:p>
    <w:p w14:paraId="4E96481D" w14:textId="77777777" w:rsidR="00F04016" w:rsidRDefault="00F04016" w:rsidP="00F04016">
      <w:pPr>
        <w:jc w:val="both"/>
        <w:rPr>
          <w:szCs w:val="22"/>
        </w:rPr>
      </w:pPr>
      <w:r>
        <w:rPr>
          <w:szCs w:val="22"/>
        </w:rPr>
        <w:t xml:space="preserve">E-mail: </w:t>
      </w:r>
      <w:hyperlink r:id="rId12" w:history="1">
        <w:r w:rsidRPr="009F3388">
          <w:rPr>
            <w:rStyle w:val="Hypertextovodkaz"/>
            <w:szCs w:val="22"/>
          </w:rPr>
          <w:t>adr@uskvbl.cz</w:t>
        </w:r>
      </w:hyperlink>
    </w:p>
    <w:p w14:paraId="76596B61" w14:textId="77777777" w:rsidR="00F04016" w:rsidRDefault="00F04016" w:rsidP="00F04016">
      <w:pPr>
        <w:jc w:val="both"/>
        <w:rPr>
          <w:szCs w:val="22"/>
        </w:rPr>
      </w:pPr>
      <w:r>
        <w:rPr>
          <w:szCs w:val="22"/>
        </w:rPr>
        <w:t xml:space="preserve">Webové stránky: </w:t>
      </w:r>
      <w:hyperlink r:id="rId13" w:history="1">
        <w:r w:rsidRPr="009F3388">
          <w:rPr>
            <w:rStyle w:val="Hypertextovodkaz"/>
            <w:szCs w:val="22"/>
          </w:rPr>
          <w:t>https://www.uskvbl.cz/cs/farmakovigilance</w:t>
        </w:r>
      </w:hyperlink>
      <w:r>
        <w:rPr>
          <w:szCs w:val="22"/>
        </w:rPr>
        <w:t xml:space="preserve"> </w:t>
      </w:r>
    </w:p>
    <w:p w14:paraId="2F99F2A0" w14:textId="77777777" w:rsidR="00F04016" w:rsidRPr="006414D3" w:rsidRDefault="00F04016" w:rsidP="00311AB0">
      <w:pPr>
        <w:rPr>
          <w:iCs/>
          <w:szCs w:val="22"/>
        </w:rPr>
      </w:pPr>
    </w:p>
    <w:p w14:paraId="7E142D82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722DE18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 způsob podání</w:t>
      </w:r>
    </w:p>
    <w:p w14:paraId="3FAF20F3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3C8FE923" w14:textId="77777777" w:rsidR="00A61BDC" w:rsidRPr="00205C78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77EFBBE7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Doporučená zahajovací dávka je 2,5 mg fenobarbitalu na kg živé hmotnosti, podávaná dvakrát denně, každých 12 hodin (q12h).</w:t>
      </w:r>
    </w:p>
    <w:p w14:paraId="4308851A" w14:textId="77777777" w:rsidR="00A61BDC" w:rsidRPr="0064662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bookmarkStart w:id="2" w:name="_Hlk174716870"/>
      <w:r>
        <w:t>Pro zajištění správného zahajovacího dávkování je třeba co nejpřesněji určit živou hmotnost.</w:t>
      </w:r>
    </w:p>
    <w:bookmarkEnd w:id="2"/>
    <w:p w14:paraId="38E71DC6" w14:textId="77777777" w:rsidR="00A61BDC" w:rsidRPr="00205C78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Má-li být dosaženo úspěšné léčby, tablety je třeba podávat každý den ve stejnou dobu.</w:t>
      </w:r>
    </w:p>
    <w:p w14:paraId="156DFAEA" w14:textId="77777777" w:rsidR="00A61BDC" w:rsidRPr="00205C78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Ustálených sérových koncentrací se dosáhne až po 1–2 týdnech od zahájení léčby, a proto se počáteční účinnost léku může lišit a dávky by se během této doby neměly zvyšovat.</w:t>
      </w:r>
    </w:p>
    <w:p w14:paraId="373FAF83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Jakékoli úpravy zahajovací dávky je nejlépe provádět na základě klinické účinnosti, koncentrací fenobarbitalu v krvi a výskytu nežádoucích účinků.</w:t>
      </w:r>
    </w:p>
    <w:p w14:paraId="213CF987" w14:textId="77777777" w:rsidR="00A61BDC" w:rsidRPr="00205C78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3B3D67B7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Stanovení </w:t>
      </w:r>
      <w:bookmarkStart w:id="3" w:name="_Hlk174716886"/>
      <w:r>
        <w:t>sérové koncentrace fenobarbitalu</w:t>
      </w:r>
      <w:bookmarkEnd w:id="3"/>
      <w:r>
        <w:t xml:space="preserve"> je nezbytné pro zajištění vhodné terapie. Při plánování monitorování sérové koncentrace je třeba mít na paměti dobu do dosažení ustáleného stavu (1–2 týdny) a zvýšený metabolismus v důsledku </w:t>
      </w:r>
      <w:proofErr w:type="spellStart"/>
      <w:r>
        <w:t>autoindukce</w:t>
      </w:r>
      <w:proofErr w:type="spellEnd"/>
      <w:r>
        <w:t xml:space="preserve"> (6 týdnů). </w:t>
      </w:r>
    </w:p>
    <w:p w14:paraId="3DC0AFBF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Koncentrace fenobarbitalu považované za terapeuticky účinné se pohybují od 15 do 40 </w:t>
      </w:r>
      <w:proofErr w:type="spellStart"/>
      <w:r>
        <w:t>μg</w:t>
      </w:r>
      <w:proofErr w:type="spellEnd"/>
      <w:r>
        <w:t>/ml, ale u většiny psů je pro optimální kontrolu záchvatů nutná koncentrace fenobarbitalu v séru mezi 25–30 </w:t>
      </w:r>
      <w:proofErr w:type="spellStart"/>
      <w:r>
        <w:t>μg</w:t>
      </w:r>
      <w:proofErr w:type="spellEnd"/>
      <w:r>
        <w:t>/ml.</w:t>
      </w:r>
    </w:p>
    <w:p w14:paraId="24230B2E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Vzhledem k rozdílům ve vylučování fenobarbitalu a rozdílům v citlivosti se mohou účinné dávky u jednotlivých pacientů značně lišit (od 1 mg do 15 mg/kg živé hmotnosti dvakrát denně).</w:t>
      </w:r>
    </w:p>
    <w:p w14:paraId="6F70A08D" w14:textId="1A09DF8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V případě nedostatečné terapeutické účinnosti lze dávku zvyšovat v krocích po 20 %, přičemž je třeba sledovat sérové koncentrace fenobarbitalu. V důsledku </w:t>
      </w:r>
      <w:proofErr w:type="spellStart"/>
      <w:r>
        <w:t>autoindukce</w:t>
      </w:r>
      <w:proofErr w:type="spellEnd"/>
      <w:r>
        <w:t xml:space="preserve"> </w:t>
      </w:r>
      <w:bookmarkStart w:id="4" w:name="_Hlk174716998"/>
      <w:r>
        <w:t xml:space="preserve">jaterních </w:t>
      </w:r>
      <w:proofErr w:type="spellStart"/>
      <w:r>
        <w:t>mikrosomálních</w:t>
      </w:r>
      <w:proofErr w:type="spellEnd"/>
      <w:r>
        <w:t xml:space="preserve"> enzymů</w:t>
      </w:r>
      <w:bookmarkEnd w:id="4"/>
      <w:r>
        <w:t xml:space="preserve"> může být u některých psů </w:t>
      </w:r>
      <w:r w:rsidR="00107FDF">
        <w:t xml:space="preserve">biologický </w:t>
      </w:r>
      <w:r>
        <w:t xml:space="preserve">poločas fenobarbitalu </w:t>
      </w:r>
      <w:r w:rsidR="00107FDF">
        <w:t xml:space="preserve">při dlouhodobém podávání </w:t>
      </w:r>
      <w:r>
        <w:t>kratší než 20 hodin. V těchto případech by se mohlo uvažovat o 8hodinovém dávkovacím intervalu, aby se minimalizovalo terapeuticky relevantní kolísání sérových koncentrací.</w:t>
      </w:r>
    </w:p>
    <w:p w14:paraId="6FC19F38" w14:textId="77777777" w:rsidR="00107FDF" w:rsidRPr="00205C78" w:rsidRDefault="00107FDF" w:rsidP="00107FDF">
      <w:pPr>
        <w:tabs>
          <w:tab w:val="clear" w:pos="567"/>
        </w:tabs>
        <w:spacing w:line="240" w:lineRule="auto"/>
        <w:rPr>
          <w:szCs w:val="22"/>
        </w:rPr>
      </w:pPr>
      <w:r>
        <w:t>Pokud je potlačení záchvatů nedostatečné a pokud je maximální koncentrace hladiny kolem 40 </w:t>
      </w:r>
      <w:proofErr w:type="spellStart"/>
      <w:r>
        <w:t>μg</w:t>
      </w:r>
      <w:proofErr w:type="spellEnd"/>
      <w:r>
        <w:t xml:space="preserve">/ml, je třeba diagnózu přehodnotit anebo by měl být přidán do léčebného protokolu druhý </w:t>
      </w:r>
      <w:proofErr w:type="spellStart"/>
      <w:r>
        <w:t>antiepileptický</w:t>
      </w:r>
      <w:proofErr w:type="spellEnd"/>
      <w:r>
        <w:t xml:space="preserve"> přípravek.</w:t>
      </w:r>
    </w:p>
    <w:p w14:paraId="0A0B65F9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Plazmatické koncentrace by měly být vždy interpretovány ve spojení s pozorovanou odpovědí na léčbu a úplným klinickým hodnocením včetně sledování projevů toxických účinků u každého zvířete.</w:t>
      </w:r>
    </w:p>
    <w:p w14:paraId="7253B8C0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10E39FE7" w14:textId="789FAE6C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Upozorňujeme, že tato tabulka dávkování je určena jako vodítko pro </w:t>
      </w:r>
      <w:r w:rsidR="00107FDF">
        <w:t xml:space="preserve">podání </w:t>
      </w:r>
      <w:r>
        <w:t>veterinárního léčivého přípravku v doporučené zahajovací dávce pro každé podání: 2,5 mg/kg. Uvádí počet a typ tablet potřebných k podání 2,5 mg fenobarbitalu na kg živé hmotnosti při jednom podání.</w:t>
      </w:r>
    </w:p>
    <w:p w14:paraId="077A2807" w14:textId="77777777" w:rsidR="00B3798A" w:rsidRDefault="00B3798A" w:rsidP="00A61BD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4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CECEC"/>
        <w:tblLook w:val="04A0" w:firstRow="1" w:lastRow="0" w:firstColumn="1" w:lastColumn="0" w:noHBand="0" w:noVBand="1"/>
      </w:tblPr>
      <w:tblGrid>
        <w:gridCol w:w="1526"/>
        <w:gridCol w:w="1417"/>
        <w:gridCol w:w="401"/>
        <w:gridCol w:w="1584"/>
        <w:gridCol w:w="1445"/>
        <w:gridCol w:w="398"/>
        <w:gridCol w:w="1417"/>
        <w:gridCol w:w="1302"/>
      </w:tblGrid>
      <w:tr w:rsidR="00A61BDC" w:rsidRPr="00AF0D92" w14:paraId="2453A5C9" w14:textId="77777777" w:rsidTr="002A47CE">
        <w:trPr>
          <w:trHeight w:val="6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745E567A" w14:textId="77777777" w:rsidR="00A61BDC" w:rsidRPr="0071225D" w:rsidRDefault="00A61BDC" w:rsidP="002A47CE">
            <w:pPr>
              <w:keepNext/>
              <w:spacing w:line="240" w:lineRule="auto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Živá hmotnost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  <w:hideMark/>
          </w:tcPr>
          <w:p w14:paraId="62288087" w14:textId="77777777" w:rsidR="00A61BDC" w:rsidRPr="0071225D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Phenosan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46D79EC6" w14:textId="77777777" w:rsidR="00A61BDC" w:rsidRPr="0071225D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12,5 mg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F2E2B4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78EFE5E2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Živá hmotnost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26530EC8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Phenosan</w:t>
            </w:r>
            <w:proofErr w:type="spellEnd"/>
          </w:p>
          <w:p w14:paraId="5B6AD5E9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50 mg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9D41E2" w14:textId="77777777" w:rsidR="00A61BDC" w:rsidRPr="0071225D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7F546B5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Živá hmotnost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07A64BCC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Phenosan</w:t>
            </w:r>
            <w:proofErr w:type="spellEnd"/>
          </w:p>
          <w:p w14:paraId="11B693E0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100 mg</w:t>
            </w:r>
          </w:p>
        </w:tc>
      </w:tr>
      <w:tr w:rsidR="00A61BDC" w:rsidRPr="005546B9" w14:paraId="1054FB9E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380BC658" w14:textId="77777777" w:rsidR="00A61BDC" w:rsidRPr="005546B9" w:rsidRDefault="00A61BDC" w:rsidP="002A47CE">
            <w:pPr>
              <w:keepNext/>
              <w:spacing w:line="240" w:lineRule="auto"/>
              <w:rPr>
                <w:rFonts w:eastAsia="Calibri"/>
                <w:b/>
              </w:rPr>
            </w:pPr>
            <w:r>
              <w:t>1,25 kg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36C4EBE5" w14:textId="6B51A293" w:rsidR="00A61BDC" w:rsidRPr="005546B9" w:rsidRDefault="00B1712F" w:rsidP="002A47CE">
            <w:pPr>
              <w:keepNext/>
              <w:spacing w:line="240" w:lineRule="auto"/>
              <w:jc w:val="center"/>
              <w:rPr>
                <w:rFonts w:eastAsia="Calibri"/>
              </w:rPr>
            </w:pPr>
            <w:r>
              <w:rPr>
                <w:b/>
                <w:noProof/>
              </w:rPr>
              <w:drawing>
                <wp:inline distT="0" distB="0" distL="0" distR="0" wp14:anchorId="6A9D5DCC" wp14:editId="141456C6">
                  <wp:extent cx="243840" cy="243840"/>
                  <wp:effectExtent l="0" t="0" r="0" b="0"/>
                  <wp:docPr id="16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9A866F" w14:textId="77777777" w:rsidR="00A61BDC" w:rsidRPr="005546B9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32242CC9" w14:textId="77777777" w:rsidR="00A61BDC" w:rsidRPr="005546B9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noProof/>
              </w:rPr>
            </w:pPr>
            <w:r>
              <w:t>1,25 kg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30D6FA68" w14:textId="77777777" w:rsidR="00A61BDC" w:rsidRPr="005546B9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noProof/>
              </w:rPr>
            </w:pPr>
            <w:r>
              <w:rPr>
                <w:b/>
              </w:rPr>
              <w:t>-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512406" w14:textId="77777777" w:rsidR="00A61BDC" w:rsidRPr="005546B9" w:rsidRDefault="00A61BDC" w:rsidP="002A47CE">
            <w:pPr>
              <w:keepNext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3DDFD585" w14:textId="77777777" w:rsidR="00A61BDC" w:rsidRPr="005546B9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noProof/>
              </w:rPr>
            </w:pPr>
            <w:r>
              <w:t>1,25 kg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4F0F12E7" w14:textId="77777777" w:rsidR="00A61BDC" w:rsidRPr="005546B9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/>
                <w:noProof/>
              </w:rPr>
            </w:pPr>
            <w:r>
              <w:rPr>
                <w:b/>
              </w:rPr>
              <w:t>-</w:t>
            </w:r>
          </w:p>
        </w:tc>
      </w:tr>
      <w:tr w:rsidR="00A61BDC" w:rsidRPr="00AF0D92" w14:paraId="3B19E16B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27458BC1" w14:textId="77777777" w:rsidR="00A61BDC" w:rsidRPr="0071225D" w:rsidRDefault="00A61BDC" w:rsidP="002A47CE">
            <w:pPr>
              <w:keepNext/>
              <w:spacing w:line="240" w:lineRule="auto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</w:rPr>
              <w:t xml:space="preserve">2,5 kg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320F3D29" w14:textId="75B200DA" w:rsidR="00A61BDC" w:rsidRPr="0071225D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22440DD" wp14:editId="22BE32DD">
                  <wp:extent cx="243840" cy="243840"/>
                  <wp:effectExtent l="0" t="0" r="0" b="0"/>
                  <wp:docPr id="17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AA23C4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532ACFD2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2,5 kg 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2C739F48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B24786" w14:textId="77777777" w:rsidR="00A61BDC" w:rsidRPr="0071225D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546ECCA0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2,5 kg 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39ACF403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</w:tr>
      <w:tr w:rsidR="00A61BDC" w:rsidRPr="00AF0D92" w14:paraId="72FF72C8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6AE9A6E7" w14:textId="77777777" w:rsidR="00A61BDC" w:rsidRPr="0071225D" w:rsidRDefault="00A61BDC" w:rsidP="002A47CE">
            <w:pPr>
              <w:keepNext/>
              <w:spacing w:line="240" w:lineRule="auto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</w:rPr>
              <w:t>3,75 kg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20B4CE60" w14:textId="1B7046D0" w:rsidR="00A61BDC" w:rsidRPr="0071225D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3D92B63" wp14:editId="2005D95B">
                  <wp:extent cx="243840" cy="243840"/>
                  <wp:effectExtent l="0" t="0" r="0" b="0"/>
                  <wp:docPr id="18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5E066D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59295D5C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>3,75 kg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22EF837E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942FEB" w14:textId="77777777" w:rsidR="00A61BDC" w:rsidRPr="0071225D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4FF3E96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>3,75 kg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F10CFC4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</w:tr>
      <w:tr w:rsidR="00A61BDC" w:rsidRPr="00AF0D92" w14:paraId="1B68138F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4CE3681A" w14:textId="77777777" w:rsidR="00A61BDC" w:rsidRPr="0071225D" w:rsidRDefault="00A61BDC" w:rsidP="002A47CE">
            <w:pPr>
              <w:keepNext/>
              <w:spacing w:line="240" w:lineRule="auto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</w:rPr>
              <w:t xml:space="preserve">5 kg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4B1D9A9E" w14:textId="14656F87" w:rsidR="00A61BDC" w:rsidRPr="0071225D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D624B49" wp14:editId="452E1842">
                  <wp:extent cx="243840" cy="243840"/>
                  <wp:effectExtent l="0" t="0" r="0" b="0"/>
                  <wp:docPr id="19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C16BD3" w14:textId="77777777" w:rsidR="00A61BDC" w:rsidRPr="0077660F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Cs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1C5261FC" w14:textId="77777777" w:rsidR="00A61BDC" w:rsidRPr="0077660F" w:rsidDel="0077660F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Cs/>
                <w:noProof/>
              </w:rPr>
            </w:pPr>
            <w:r>
              <w:rPr>
                <w:color w:val="000000"/>
              </w:rPr>
              <w:t xml:space="preserve">5 kg 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1F85BC58" w14:textId="30D5FAE3" w:rsidR="00A61BDC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2EEEEC96" wp14:editId="74530AE5">
                  <wp:extent cx="243840" cy="243840"/>
                  <wp:effectExtent l="0" t="0" r="0" b="0"/>
                  <wp:docPr id="20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972D7F" w14:textId="77777777" w:rsidR="00A61BDC" w:rsidRPr="0071225D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0AB93D74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5 kg 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7F773639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</w:tr>
      <w:tr w:rsidR="00A61BDC" w:rsidRPr="00AF0D92" w14:paraId="5849AB3B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02C30954" w14:textId="77777777" w:rsidR="00A61BDC" w:rsidRPr="0071225D" w:rsidRDefault="00A61BDC" w:rsidP="002A47CE">
            <w:pPr>
              <w:keepNext/>
              <w:spacing w:line="240" w:lineRule="auto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</w:rPr>
              <w:t xml:space="preserve">6,25 kg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0F498DB9" w14:textId="562F6337" w:rsidR="00A61BDC" w:rsidRPr="0071225D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EF711C2" wp14:editId="77320D26">
                  <wp:extent cx="243840" cy="243840"/>
                  <wp:effectExtent l="0" t="0" r="0" b="0"/>
                  <wp:docPr id="21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0770FC19" wp14:editId="7B1AC9B5">
                  <wp:extent cx="243840" cy="243840"/>
                  <wp:effectExtent l="0" t="0" r="0" b="0"/>
                  <wp:docPr id="22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CE9A26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77FC672A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6,25 kg 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290E9B6A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6CED60" w14:textId="77777777" w:rsidR="00A61BDC" w:rsidRPr="0071225D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5DDB5ABC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6,25 kg 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4334B67D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</w:tr>
      <w:tr w:rsidR="00A61BDC" w:rsidRPr="00AF0D92" w14:paraId="76114E26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1D3ADDC3" w14:textId="77777777" w:rsidR="00A61BDC" w:rsidRPr="0071225D" w:rsidRDefault="00A61BDC" w:rsidP="002A47CE">
            <w:pPr>
              <w:keepNext/>
              <w:spacing w:line="240" w:lineRule="auto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</w:rPr>
              <w:t xml:space="preserve">7,5 kg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765A47D2" w14:textId="4A1105B5" w:rsidR="00A61BDC" w:rsidRPr="0071225D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483FC8A" wp14:editId="57524131">
                  <wp:extent cx="243840" cy="243840"/>
                  <wp:effectExtent l="0" t="0" r="0" b="0"/>
                  <wp:docPr id="23" name="Afbeelding 34" descr="Afbeelding met raam, gebouw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 descr="Afbeelding met raam, gebouw, cirk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7BE91D" wp14:editId="3436EB48">
                  <wp:extent cx="243840" cy="243840"/>
                  <wp:effectExtent l="0" t="0" r="0" b="0"/>
                  <wp:docPr id="24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823629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1E64618B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7,5 kg 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0BFED024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83AE5C" w14:textId="77777777" w:rsidR="00A61BDC" w:rsidRPr="0071225D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5BC4E73C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7,5 kg 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BE7C8DB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</w:tr>
      <w:tr w:rsidR="00A61BDC" w:rsidRPr="00AF0D92" w14:paraId="27E0B434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10F00AC8" w14:textId="77777777" w:rsidR="00A61BDC" w:rsidRPr="0071225D" w:rsidRDefault="00A61BDC" w:rsidP="002A47CE">
            <w:pPr>
              <w:keepNext/>
              <w:spacing w:line="240" w:lineRule="auto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</w:rPr>
              <w:t>10 kg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63DA619D" w14:textId="23ECD4D5" w:rsidR="00A61BDC" w:rsidRPr="0071225D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AAAD31A" wp14:editId="12CCD69F">
                  <wp:extent cx="243840" cy="243840"/>
                  <wp:effectExtent l="0" t="0" r="0" b="0"/>
                  <wp:docPr id="25" name="Afbeelding 32" descr="Afbeelding met raam, gebouw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 descr="Afbeelding met raam, gebouw, cirk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7176EC" wp14:editId="15DE78CC">
                  <wp:extent cx="243840" cy="243840"/>
                  <wp:effectExtent l="0" t="0" r="0" b="0"/>
                  <wp:docPr id="26" name="Afbeelding 31" descr="Afbeelding met raam, gebouw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 descr="Afbeelding met raam, gebouw, cirk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DF9E66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5CCC8B24" w14:textId="77777777" w:rsidR="00A61BDC" w:rsidDel="0077660F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>10 kg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2E02C6FC" w14:textId="56BFF149" w:rsidR="00A61BDC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49EBF38E" wp14:editId="4A666F12">
                  <wp:extent cx="243840" cy="243840"/>
                  <wp:effectExtent l="0" t="0" r="0" b="0"/>
                  <wp:docPr id="27" name="Afbeelding 30" descr="Afbeelding met raam, gebouw, zw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 descr="Afbeelding met raam, gebouw, zwar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988265" w14:textId="77777777" w:rsidR="00A61BDC" w:rsidRPr="0071225D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4CF3627" w14:textId="77777777" w:rsidR="00A61BDC" w:rsidRPr="0077660F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bCs/>
                <w:noProof/>
              </w:rPr>
            </w:pPr>
            <w:r>
              <w:rPr>
                <w:color w:val="000000"/>
              </w:rPr>
              <w:t>10 kg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7C5D71B9" w14:textId="3EAA006B" w:rsidR="00A61BDC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7BEB74C9" wp14:editId="4C4643F6">
                  <wp:extent cx="243840" cy="243840"/>
                  <wp:effectExtent l="0" t="0" r="0" b="0"/>
                  <wp:docPr id="28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DC" w:rsidRPr="00AF0D92" w14:paraId="2B206504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726DFB3D" w14:textId="77777777" w:rsidR="00A61BDC" w:rsidRPr="0071225D" w:rsidRDefault="00A61BDC" w:rsidP="002A47CE">
            <w:pPr>
              <w:keepNext/>
              <w:spacing w:line="240" w:lineRule="auto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</w:rPr>
              <w:t xml:space="preserve">15 kg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  <w:hideMark/>
          </w:tcPr>
          <w:p w14:paraId="004C56E3" w14:textId="0733A67C" w:rsidR="00A61BDC" w:rsidRPr="0071225D" w:rsidRDefault="00B1712F" w:rsidP="002A47CE">
            <w:pPr>
              <w:keepNext/>
              <w:spacing w:line="240" w:lineRule="auto"/>
              <w:jc w:val="center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12EC39EF" wp14:editId="03E8D275">
                  <wp:extent cx="243840" cy="243840"/>
                  <wp:effectExtent l="0" t="0" r="0" b="0"/>
                  <wp:docPr id="29" name="Afbeelding 28" descr="Afbeelding met raam, gebouw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Afbeelding met raam, gebouw, cirk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77437E" wp14:editId="752768B5">
                  <wp:extent cx="243840" cy="243840"/>
                  <wp:effectExtent l="0" t="0" r="0" b="0"/>
                  <wp:docPr id="30" name="Afbeelding 27" descr="Afbeelding met raam, gebouw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Afbeelding met raam, gebouw, cirk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64FF0E" wp14:editId="1496B842">
                  <wp:extent cx="243840" cy="243840"/>
                  <wp:effectExtent l="0" t="0" r="0" b="0"/>
                  <wp:docPr id="31" name="Afbeelding 26" descr="Afbeelding met raam, gebouw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Afbeelding met raam, gebouw, cirk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AE0288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2DA3DA80" w14:textId="77777777" w:rsidR="00A61BDC" w:rsidDel="0077660F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15 kg 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0202201C" w14:textId="323AC269" w:rsidR="00A61BDC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3299A476" wp14:editId="07E3337C">
                  <wp:extent cx="243840" cy="243840"/>
                  <wp:effectExtent l="0" t="0" r="0" b="0"/>
                  <wp:docPr id="32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967E92" w14:textId="77777777" w:rsidR="00A61BDC" w:rsidRPr="0071225D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76825F32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15 kg 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028B0A8D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</w:tr>
      <w:tr w:rsidR="00A61BDC" w:rsidRPr="000B5B32" w14:paraId="65222B5E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14D0213A" w14:textId="77777777" w:rsidR="00A61BDC" w:rsidRPr="000B5B32" w:rsidRDefault="00A61BDC" w:rsidP="002A47CE">
            <w:pPr>
              <w:keepNext/>
              <w:spacing w:line="240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20 kg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0F975F3A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2CED8A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7FA1AD2E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>20 kg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787DCD0C" w14:textId="75C640FF" w:rsidR="00A61BDC" w:rsidRPr="000B5B32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4B471DC1" wp14:editId="57871F3D">
                  <wp:extent cx="243840" cy="243840"/>
                  <wp:effectExtent l="0" t="0" r="0" b="0"/>
                  <wp:docPr id="33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3031A2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0CECD977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>20 kg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755F53E3" w14:textId="09314741" w:rsidR="00A61BDC" w:rsidRPr="000B5B32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024D5B9F" wp14:editId="7BCD2C81">
                  <wp:extent cx="243840" cy="243840"/>
                  <wp:effectExtent l="0" t="0" r="0" b="0"/>
                  <wp:docPr id="34" name="Afbeelding 23" descr="Afbeelding met raam, gebouw, zw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 descr="Afbeelding met raam, gebouw, zwar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DC" w:rsidRPr="000B5B32" w14:paraId="0C6B6361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6AE69162" w14:textId="77777777" w:rsidR="00A61BDC" w:rsidRPr="000B5B32" w:rsidRDefault="00A61BDC" w:rsidP="002A47CE">
            <w:pPr>
              <w:keepNext/>
              <w:spacing w:line="240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25 kg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2A644D72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FBD72B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2C7A74C6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>25 kg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70DE95D6" w14:textId="4A3BB040" w:rsidR="00A61BDC" w:rsidRPr="000B5B32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6CC08274" wp14:editId="01DB042C">
                  <wp:extent cx="243840" cy="243840"/>
                  <wp:effectExtent l="0" t="0" r="0" b="0"/>
                  <wp:docPr id="35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305995FA" wp14:editId="4D8826A0">
                  <wp:extent cx="243840" cy="243840"/>
                  <wp:effectExtent l="0" t="0" r="0" b="0"/>
                  <wp:docPr id="36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271EA4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45CF42A2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>25 kg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3B3C1E83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</w:tr>
      <w:tr w:rsidR="00A61BDC" w:rsidRPr="000B5B32" w14:paraId="64F2FBD2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0ED04746" w14:textId="77777777" w:rsidR="00A61BDC" w:rsidRPr="000B5B32" w:rsidRDefault="00A61BDC" w:rsidP="002A47CE">
            <w:pPr>
              <w:keepNext/>
              <w:spacing w:line="240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 kg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674B0365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CE3805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5947FB18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30 kg 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3978BB69" w14:textId="565E98E4" w:rsidR="00A61BDC" w:rsidRPr="000B5B32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77DB6FB5" wp14:editId="7B1E598E">
                  <wp:extent cx="243840" cy="243840"/>
                  <wp:effectExtent l="0" t="0" r="0" b="0"/>
                  <wp:docPr id="37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59756E" wp14:editId="7813C4D5">
                  <wp:extent cx="243840" cy="243840"/>
                  <wp:effectExtent l="0" t="0" r="0" b="0"/>
                  <wp:docPr id="38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BA7000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7667AD6D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30 kg 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0275315A" w14:textId="70234DFB" w:rsidR="00A61BDC" w:rsidRPr="000B5B32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5AFACE68" wp14:editId="307ABFF8">
                  <wp:extent cx="243840" cy="243840"/>
                  <wp:effectExtent l="0" t="0" r="0" b="0"/>
                  <wp:docPr id="39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DC" w:rsidRPr="000B5B32" w14:paraId="13B854E8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58B394FC" w14:textId="77777777" w:rsidR="00A61BDC" w:rsidRPr="000B5B32" w:rsidRDefault="00A61BDC" w:rsidP="002A47CE">
            <w:pPr>
              <w:keepNext/>
              <w:spacing w:line="240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40 kg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7C677563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0F621C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71338B7C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>40 kg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617B008B" w14:textId="7C8C9CCD" w:rsidR="00A61BDC" w:rsidRPr="000B5B32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62CD56A1" wp14:editId="03B61D3F">
                  <wp:extent cx="243840" cy="243840"/>
                  <wp:effectExtent l="0" t="0" r="0" b="0"/>
                  <wp:docPr id="40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813913" wp14:editId="3CE4B284">
                  <wp:extent cx="243840" cy="243840"/>
                  <wp:effectExtent l="0" t="0" r="0" b="0"/>
                  <wp:docPr id="41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D0AEEF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4ED3E9E1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>40 kg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32C03B86" w14:textId="17FFF60E" w:rsidR="00A61BDC" w:rsidRPr="000B5B32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4A777EE5" wp14:editId="76CFABD5">
                  <wp:extent cx="243840" cy="243840"/>
                  <wp:effectExtent l="0" t="0" r="0" b="0"/>
                  <wp:docPr id="42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DC" w:rsidRPr="000B5B32" w14:paraId="70651BF1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219DF7DD" w14:textId="77777777" w:rsidR="00A61BDC" w:rsidRPr="000B5B32" w:rsidRDefault="00A61BDC" w:rsidP="002A47CE">
            <w:pPr>
              <w:keepNext/>
              <w:spacing w:line="240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50 kg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443A99E0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2DEFE2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58586BD8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50 kg 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532E26E4" w14:textId="17D0D316" w:rsidR="00A61BDC" w:rsidRPr="000B5B32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654BEDBB" wp14:editId="569E73E4">
                  <wp:extent cx="243840" cy="243840"/>
                  <wp:effectExtent l="0" t="0" r="0" b="0"/>
                  <wp:docPr id="43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EC1745" wp14:editId="508D5591">
                  <wp:extent cx="243840" cy="243840"/>
                  <wp:effectExtent l="0" t="0" r="0" b="0"/>
                  <wp:docPr id="44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4580F6" wp14:editId="7EB9C3AA">
                  <wp:extent cx="243840" cy="243840"/>
                  <wp:effectExtent l="0" t="0" r="0" b="0"/>
                  <wp:docPr id="45" name="Afbeelding 12" descr="Afbeelding met raam, gebouw, zw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Afbeelding met raam, gebouw, zwar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96E879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34613629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50 kg 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10679252" w14:textId="70A67BE8" w:rsidR="00A61BDC" w:rsidRPr="000B5B32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1D7167D6" wp14:editId="77D63B1B">
                  <wp:extent cx="243840" cy="243840"/>
                  <wp:effectExtent l="0" t="0" r="0" b="0"/>
                  <wp:docPr id="46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22A949FF" wp14:editId="448AEB30">
                  <wp:extent cx="243840" cy="243840"/>
                  <wp:effectExtent l="0" t="0" r="0" b="0"/>
                  <wp:docPr id="47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DC" w:rsidRPr="00AF0D92" w14:paraId="30281E4C" w14:textId="77777777" w:rsidTr="002A47CE">
        <w:trPr>
          <w:trHeight w:val="30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71EDE9AE" w14:textId="77777777" w:rsidR="00A61BDC" w:rsidRPr="000B5B32" w:rsidRDefault="00A61BDC" w:rsidP="002A47CE">
            <w:pPr>
              <w:keepNext/>
              <w:spacing w:line="240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60 kg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noWrap/>
            <w:vAlign w:val="center"/>
          </w:tcPr>
          <w:p w14:paraId="4F2A9F3D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t>-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2BB7B6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  <w:lang w:val="nl-NL" w:eastAsia="nl-NL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75337EB5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60 kg </w:t>
            </w:r>
          </w:p>
        </w:tc>
        <w:tc>
          <w:tcPr>
            <w:tcW w:w="1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8E8E8"/>
            <w:vAlign w:val="center"/>
          </w:tcPr>
          <w:p w14:paraId="5390CB6E" w14:textId="6A6337AC" w:rsidR="00A61BDC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53887987" wp14:editId="688FA96A">
                  <wp:extent cx="243840" cy="243840"/>
                  <wp:effectExtent l="0" t="0" r="0" b="0"/>
                  <wp:docPr id="48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AB0B3B" wp14:editId="15AD15C8">
                  <wp:extent cx="243840" cy="243840"/>
                  <wp:effectExtent l="0" t="0" r="0" b="0"/>
                  <wp:docPr id="49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DDAB271" wp14:editId="2FE004F9">
                  <wp:extent cx="243840" cy="243840"/>
                  <wp:effectExtent l="0" t="0" r="0" b="0"/>
                  <wp:docPr id="50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D92787" w14:textId="77777777" w:rsidR="00A61BDC" w:rsidRPr="000B5B32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49CE6DD0" w14:textId="77777777" w:rsidR="00A61BDC" w:rsidRDefault="00A61BDC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color w:val="000000"/>
              </w:rPr>
              <w:t xml:space="preserve">60 kg </w:t>
            </w:r>
          </w:p>
        </w:tc>
        <w:tc>
          <w:tcPr>
            <w:tcW w:w="1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0F57A380" w14:textId="1BE63E61" w:rsidR="00A61BDC" w:rsidRDefault="00B1712F" w:rsidP="002A47CE">
            <w:pPr>
              <w:keepNext/>
              <w:spacing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49FC9B5A" wp14:editId="7B62E488">
                  <wp:extent cx="243840" cy="243840"/>
                  <wp:effectExtent l="0" t="0" r="0" b="0"/>
                  <wp:docPr id="51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E0A0BC" wp14:editId="206288BC">
                  <wp:extent cx="243840" cy="243840"/>
                  <wp:effectExtent l="0" t="0" r="0" b="0"/>
                  <wp:docPr id="52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F1750" w14:textId="75649DE5" w:rsidR="00A61BDC" w:rsidRPr="00AF0D92" w:rsidRDefault="00B1712F" w:rsidP="00A61BDC">
      <w:pPr>
        <w:keepNext/>
        <w:spacing w:after="60" w:line="240" w:lineRule="auto"/>
        <w:rPr>
          <w:bCs/>
          <w:iCs/>
          <w:noProof/>
        </w:rPr>
      </w:pPr>
      <w:r>
        <w:rPr>
          <w:noProof/>
        </w:rPr>
        <w:drawing>
          <wp:inline distT="0" distB="0" distL="0" distR="0" wp14:anchorId="168352B9" wp14:editId="2671C378">
            <wp:extent cx="243840" cy="243840"/>
            <wp:effectExtent l="0" t="0" r="0" b="0"/>
            <wp:docPr id="5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¼ tablety</w:t>
      </w:r>
      <w:r>
        <w:tab/>
      </w:r>
      <w:r>
        <w:rPr>
          <w:noProof/>
        </w:rPr>
        <w:drawing>
          <wp:inline distT="0" distB="0" distL="0" distR="0" wp14:anchorId="47093196" wp14:editId="20A6BF10">
            <wp:extent cx="243840" cy="243840"/>
            <wp:effectExtent l="0" t="0" r="0" b="0"/>
            <wp:docPr id="5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½ tablety </w:t>
      </w:r>
      <w:r>
        <w:tab/>
      </w:r>
      <w:r>
        <w:rPr>
          <w:noProof/>
        </w:rPr>
        <w:drawing>
          <wp:inline distT="0" distB="0" distL="0" distR="0" wp14:anchorId="46C0320A" wp14:editId="0C7DF2E0">
            <wp:extent cx="243840" cy="243840"/>
            <wp:effectExtent l="0" t="0" r="0" b="0"/>
            <wp:docPr id="5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¾ tablety</w:t>
      </w:r>
      <w:r>
        <w:tab/>
      </w:r>
      <w:r>
        <w:rPr>
          <w:noProof/>
        </w:rPr>
        <w:drawing>
          <wp:inline distT="0" distB="0" distL="0" distR="0" wp14:anchorId="564C8EB6" wp14:editId="13C4E824">
            <wp:extent cx="243840" cy="243840"/>
            <wp:effectExtent l="0" t="0" r="0" b="0"/>
            <wp:docPr id="5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1 tableta</w:t>
      </w:r>
    </w:p>
    <w:p w14:paraId="59CE1966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52B146E1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 správném podávání</w:t>
      </w:r>
    </w:p>
    <w:p w14:paraId="75F903FF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D1B3ACE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Má-li být dosaženo úspěšné léčby, tablety je třeba podávat každý den ve stejnou dobu.</w:t>
      </w:r>
    </w:p>
    <w:p w14:paraId="48ABE3B3" w14:textId="20F35CE6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Pro přesné dávkování je třeba používat nejvhodnější </w:t>
      </w:r>
      <w:r w:rsidR="00107FDF">
        <w:t xml:space="preserve">sílu </w:t>
      </w:r>
      <w:r>
        <w:t xml:space="preserve">tablet. </w:t>
      </w:r>
    </w:p>
    <w:p w14:paraId="054B3567" w14:textId="77777777" w:rsidR="00A61BDC" w:rsidRPr="006E6D39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314C6F0F" w14:textId="77777777" w:rsidR="00A61BDC" w:rsidRPr="006E6D39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5C4D6698" w14:textId="77777777" w:rsidR="00A61BDC" w:rsidRPr="007072BA" w:rsidRDefault="00A61BDC" w:rsidP="00A61BDC">
      <w:pPr>
        <w:tabs>
          <w:tab w:val="clear" w:pos="567"/>
        </w:tabs>
        <w:spacing w:line="240" w:lineRule="auto"/>
        <w:rPr>
          <w:noProof/>
        </w:rPr>
      </w:pPr>
      <w:r>
        <w:t xml:space="preserve">Tablety lze rozdělit na 2 nebo 4 stejné části, a tím zajistit přesné dávkování. Umístěte tabletu na rovný povrch tak, aby strana s dělicí rýhou směřovala nahoru a konvexní (zaoblená) strana směřovala dolů. </w:t>
      </w:r>
    </w:p>
    <w:p w14:paraId="2065AE63" w14:textId="77777777" w:rsidR="00A61BDC" w:rsidRPr="007561D4" w:rsidRDefault="00A61BDC" w:rsidP="00A61BDC">
      <w:pPr>
        <w:tabs>
          <w:tab w:val="clear" w:pos="567"/>
        </w:tabs>
        <w:spacing w:line="240" w:lineRule="auto"/>
        <w:rPr>
          <w:color w:val="000000"/>
          <w:szCs w:val="22"/>
          <w:lang w:eastAsia="nl-NL"/>
        </w:rPr>
      </w:pPr>
    </w:p>
    <w:p w14:paraId="77DFC548" w14:textId="659A1111" w:rsidR="00A61BDC" w:rsidRPr="00EB7A5C" w:rsidRDefault="00B1712F" w:rsidP="00A61BDC">
      <w:pPr>
        <w:tabs>
          <w:tab w:val="clear" w:pos="567"/>
        </w:tabs>
        <w:spacing w:line="240" w:lineRule="auto"/>
        <w:rPr>
          <w:rFonts w:ascii="Calibri" w:eastAsia="Calibri" w:hAnsi="Calibri"/>
          <w:noProof/>
          <w:szCs w:val="22"/>
        </w:rPr>
      </w:pPr>
      <w:r>
        <w:rPr>
          <w:noProof/>
        </w:rPr>
        <w:lastRenderedPageBreak/>
        <w:drawing>
          <wp:inline distT="0" distB="0" distL="0" distR="0" wp14:anchorId="520BB73B" wp14:editId="23789FE0">
            <wp:extent cx="2270760" cy="1874520"/>
            <wp:effectExtent l="0" t="0" r="0" b="0"/>
            <wp:docPr id="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059A2" w14:textId="77777777" w:rsidR="00A61BDC" w:rsidRPr="00EB7A5C" w:rsidRDefault="00A61BDC" w:rsidP="00A61BDC">
      <w:pPr>
        <w:tabs>
          <w:tab w:val="clear" w:pos="567"/>
        </w:tabs>
        <w:spacing w:line="240" w:lineRule="auto"/>
        <w:rPr>
          <w:rFonts w:ascii="Calibri" w:eastAsia="Calibri" w:hAnsi="Calibri"/>
          <w:noProof/>
          <w:szCs w:val="22"/>
          <w:lang w:val="en-US" w:eastAsia="nl-NL"/>
        </w:rPr>
      </w:pPr>
    </w:p>
    <w:p w14:paraId="489B8D11" w14:textId="77777777" w:rsidR="00A61BDC" w:rsidRPr="007072BA" w:rsidRDefault="00A61BDC" w:rsidP="00A61BDC">
      <w:pPr>
        <w:tabs>
          <w:tab w:val="clear" w:pos="567"/>
        </w:tabs>
        <w:spacing w:line="240" w:lineRule="auto"/>
        <w:rPr>
          <w:noProof/>
        </w:rPr>
      </w:pPr>
      <w:r>
        <w:t>Rozdělení na dvě stejné části: Tlačte palci po stranách tablety směrem dolů.</w:t>
      </w:r>
    </w:p>
    <w:p w14:paraId="127FB0A0" w14:textId="77777777" w:rsidR="00A61BDC" w:rsidRPr="00F63756" w:rsidRDefault="00A61BDC" w:rsidP="00A61BDC">
      <w:pPr>
        <w:tabs>
          <w:tab w:val="clear" w:pos="567"/>
        </w:tabs>
        <w:spacing w:line="240" w:lineRule="auto"/>
        <w:rPr>
          <w:noProof/>
        </w:rPr>
      </w:pPr>
      <w:r>
        <w:t>Rozdělení na čtyři stejné části: Tlačte palcem dolů uprostřed tablety.</w:t>
      </w:r>
    </w:p>
    <w:p w14:paraId="47A7AFBC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0D8F53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2E401654" w14:textId="77777777" w:rsidR="00A61BDC" w:rsidRDefault="00A61BDC" w:rsidP="00A61B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BA570AD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iCs/>
          <w:szCs w:val="22"/>
        </w:rPr>
      </w:pPr>
      <w:r>
        <w:t xml:space="preserve">Neuplatňuje se. </w:t>
      </w:r>
    </w:p>
    <w:p w14:paraId="44E086B9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9D3401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4DE11189" w14:textId="77777777" w:rsidR="00A61BDC" w:rsidRPr="006414D3" w:rsidRDefault="00A61BDC" w:rsidP="00A61B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E6A8252" w14:textId="77777777" w:rsidR="00A61BDC" w:rsidRPr="006414D3" w:rsidRDefault="00A61BDC" w:rsidP="00A61B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 dosah dětí.</w:t>
      </w:r>
    </w:p>
    <w:p w14:paraId="67165D8D" w14:textId="77777777" w:rsidR="00A61BDC" w:rsidRPr="006414D3" w:rsidRDefault="00A61BDC" w:rsidP="00A61B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600FDB4A" w14:textId="77777777" w:rsidR="00A61BDC" w:rsidRPr="006414D3" w:rsidRDefault="00A61BDC" w:rsidP="00A61B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použitelnosti vyznačené na krabičce po Exp. Doba použitelnosti končí posledním dnem v uvedeném měsíci.</w:t>
      </w:r>
    </w:p>
    <w:p w14:paraId="5B5C8364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0729878C" w14:textId="77777777" w:rsidR="00A61BDC" w:rsidRPr="006414D3" w:rsidRDefault="00A61BDC" w:rsidP="0098665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5F41AEC5" w14:textId="77777777" w:rsidR="00A61BDC" w:rsidRPr="006414D3" w:rsidRDefault="00A61BDC" w:rsidP="0098665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5DA9C25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Léčivé přípravky se nesmí likvidovat prostřednictvím odpadní vody či domovního odpadu.</w:t>
      </w:r>
    </w:p>
    <w:p w14:paraId="300E2657" w14:textId="77777777" w:rsidR="000A518F" w:rsidRDefault="00A61BDC" w:rsidP="00A61BDC">
      <w:r>
        <w:t xml:space="preserve">Všechen nepoužitý veterinární léčivý přípravek nebo odpad, který pochází z tohoto přípravku, likvidujte odevzdáním v souladu s místními požadavky a platnými národními systémy sběru. Tato opatření napomáhají chránit životní prostředí. </w:t>
      </w:r>
    </w:p>
    <w:p w14:paraId="5EA53CD0" w14:textId="0EE987DF" w:rsidR="00A61BDC" w:rsidRPr="006414D3" w:rsidRDefault="00A61BDC" w:rsidP="00A61BDC">
      <w:pPr>
        <w:rPr>
          <w:szCs w:val="22"/>
        </w:rPr>
      </w:pPr>
      <w:r>
        <w:t>O možnostech likvidace nepotřebných léčivých přípravků se poraďte s vaším veterinárním lékařem nebo lékárníkem.</w:t>
      </w:r>
    </w:p>
    <w:p w14:paraId="041ADDB2" w14:textId="77777777" w:rsidR="00A61BDC" w:rsidRPr="00A61BDC" w:rsidRDefault="00A61BDC" w:rsidP="00A61BDC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5B798E2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3F70D7D0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7142BDD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bookmarkStart w:id="5" w:name="_Hlk174717113"/>
      <w:r>
        <w:t>Veterinární léčivý přípravek je vydáván pouze na předpis.</w:t>
      </w:r>
    </w:p>
    <w:bookmarkEnd w:id="5"/>
    <w:p w14:paraId="0BE3AD4E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387C5204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 velikosti balení</w:t>
      </w:r>
    </w:p>
    <w:p w14:paraId="146344A3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3F4CEB3F" w14:textId="3AC52240" w:rsidR="00A61BDC" w:rsidRDefault="003226FF" w:rsidP="00A61B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96/010/</w:t>
      </w:r>
      <w:proofErr w:type="gramStart"/>
      <w:r>
        <w:rPr>
          <w:szCs w:val="22"/>
        </w:rPr>
        <w:t>25-C</w:t>
      </w:r>
      <w:proofErr w:type="gramEnd"/>
      <w:r>
        <w:rPr>
          <w:szCs w:val="22"/>
        </w:rPr>
        <w:t>, 96/011/25-C, 96/012/25-C</w:t>
      </w:r>
    </w:p>
    <w:p w14:paraId="37BFCB2A" w14:textId="77777777" w:rsidR="003226FF" w:rsidRDefault="003226FF" w:rsidP="00A61BDC">
      <w:pPr>
        <w:tabs>
          <w:tab w:val="clear" w:pos="567"/>
        </w:tabs>
        <w:spacing w:line="240" w:lineRule="auto"/>
        <w:rPr>
          <w:szCs w:val="22"/>
        </w:rPr>
      </w:pPr>
      <w:bookmarkStart w:id="6" w:name="_GoBack"/>
      <w:bookmarkEnd w:id="6"/>
    </w:p>
    <w:p w14:paraId="04E9950D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Papírová krabička obsahující 10, 20, 30, 40, 50, 60, 70, 80, 90, 100 nebo 250 žvýkacích tablet. </w:t>
      </w:r>
    </w:p>
    <w:p w14:paraId="1007B9F0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1374F818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095E6446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053983B6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0A7E8C07" w14:textId="333F9A2E" w:rsidR="00A61BDC" w:rsidRPr="006414D3" w:rsidRDefault="00107FDF" w:rsidP="00A61BDC">
      <w:pPr>
        <w:rPr>
          <w:szCs w:val="22"/>
        </w:rPr>
      </w:pPr>
      <w:r>
        <w:t>05/2025</w:t>
      </w:r>
    </w:p>
    <w:p w14:paraId="33CE90C8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169510E4" w14:textId="30A7B90C" w:rsidR="00A61BDC" w:rsidRDefault="00A61BDC" w:rsidP="00A61BDC">
      <w:pPr>
        <w:tabs>
          <w:tab w:val="clear" w:pos="567"/>
        </w:tabs>
        <w:spacing w:line="240" w:lineRule="auto"/>
      </w:pPr>
      <w:r>
        <w:t xml:space="preserve">Podrobné informace o tomto veterinárním léčivém přípravku jsou k dispozici v </w:t>
      </w:r>
      <w:r>
        <w:rPr>
          <w:rStyle w:val="Hypertextovodkaz"/>
        </w:rPr>
        <w:t>databázi přípravků Unie</w:t>
      </w:r>
      <w:r>
        <w:t xml:space="preserve"> (</w:t>
      </w:r>
      <w:hyperlink r:id="rId21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2D72DD4C" w14:textId="77777777" w:rsidR="00346444" w:rsidRDefault="00346444" w:rsidP="00A61BDC">
      <w:pPr>
        <w:tabs>
          <w:tab w:val="clear" w:pos="567"/>
        </w:tabs>
        <w:spacing w:line="240" w:lineRule="auto"/>
      </w:pPr>
    </w:p>
    <w:p w14:paraId="00822A2A" w14:textId="376B48CC" w:rsidR="003226FF" w:rsidRDefault="00107FDF" w:rsidP="00107FDF">
      <w:pPr>
        <w:ind w:right="-318"/>
        <w:rPr>
          <w:color w:val="000000"/>
          <w:szCs w:val="22"/>
        </w:rPr>
      </w:pPr>
      <w:r w:rsidRPr="00BE5530">
        <w:rPr>
          <w:color w:val="000000"/>
          <w:szCs w:val="22"/>
        </w:rPr>
        <w:t>Podrobné informace o tomto veterinárním léčivém přípravku naleznete také v národní databázi (</w:t>
      </w:r>
      <w:hyperlink r:id="rId22" w:history="1">
        <w:r w:rsidR="003226FF" w:rsidRPr="00971532">
          <w:rPr>
            <w:rStyle w:val="Hypertextovodkaz"/>
            <w:szCs w:val="22"/>
          </w:rPr>
          <w:t>https://www.uskvbl.cz</w:t>
        </w:r>
      </w:hyperlink>
      <w:r w:rsidR="003226FF">
        <w:rPr>
          <w:color w:val="000000"/>
          <w:szCs w:val="22"/>
        </w:rPr>
        <w:t>).</w:t>
      </w:r>
    </w:p>
    <w:p w14:paraId="4225C224" w14:textId="339E5902" w:rsidR="00107FDF" w:rsidRPr="00B17616" w:rsidRDefault="00107FDF" w:rsidP="00107FDF">
      <w:pPr>
        <w:ind w:right="-318"/>
        <w:rPr>
          <w:szCs w:val="22"/>
        </w:rPr>
      </w:pPr>
    </w:p>
    <w:p w14:paraId="621E5EBF" w14:textId="77777777" w:rsidR="00107FDF" w:rsidRPr="00964F6D" w:rsidRDefault="00107FDF" w:rsidP="00A61BDC">
      <w:pPr>
        <w:tabs>
          <w:tab w:val="clear" w:pos="567"/>
        </w:tabs>
        <w:spacing w:line="240" w:lineRule="auto"/>
        <w:rPr>
          <w:szCs w:val="22"/>
        </w:rPr>
      </w:pPr>
    </w:p>
    <w:p w14:paraId="6FB5B233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28823149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16.</w:t>
      </w:r>
      <w:r>
        <w:rPr>
          <w:b/>
        </w:rPr>
        <w:tab/>
        <w:t>Kontaktní údaje</w:t>
      </w:r>
    </w:p>
    <w:p w14:paraId="25A98095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72B69D68" w14:textId="4B3A3F2F" w:rsidR="00A61BDC" w:rsidRDefault="00A61BDC" w:rsidP="00A61BDC">
      <w:pPr>
        <w:rPr>
          <w:iCs/>
          <w:szCs w:val="22"/>
        </w:rPr>
      </w:pPr>
      <w:bookmarkStart w:id="7" w:name="_Hlk73552578"/>
      <w:r>
        <w:rPr>
          <w:u w:val="single"/>
        </w:rPr>
        <w:t>Držitel rozhodnutí o registraci a výrobce odpovědný za uvolnění šarže</w:t>
      </w:r>
      <w:r>
        <w:t>:</w:t>
      </w:r>
    </w:p>
    <w:p w14:paraId="62C19158" w14:textId="77777777" w:rsidR="00A61BDC" w:rsidRPr="00CD74CD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BV</w:t>
      </w:r>
    </w:p>
    <w:p w14:paraId="36F1D2D5" w14:textId="77777777" w:rsidR="00A61BDC" w:rsidRPr="00CD74CD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Kuipersweg</w:t>
      </w:r>
      <w:proofErr w:type="spellEnd"/>
      <w:r>
        <w:t xml:space="preserve"> 9</w:t>
      </w:r>
    </w:p>
    <w:p w14:paraId="76320480" w14:textId="77777777" w:rsidR="00A61BDC" w:rsidRPr="00CD74CD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 xml:space="preserve">3449 JA </w:t>
      </w:r>
      <w:proofErr w:type="spellStart"/>
      <w:r>
        <w:t>Woerden</w:t>
      </w:r>
      <w:proofErr w:type="spellEnd"/>
    </w:p>
    <w:p w14:paraId="77E39B82" w14:textId="77777777" w:rsidR="00A61BDC" w:rsidRDefault="00A61BDC" w:rsidP="00A61BDC">
      <w:pPr>
        <w:tabs>
          <w:tab w:val="clear" w:pos="567"/>
        </w:tabs>
        <w:spacing w:line="240" w:lineRule="auto"/>
        <w:rPr>
          <w:szCs w:val="22"/>
        </w:rPr>
      </w:pPr>
      <w:r>
        <w:t>Nizozemsko</w:t>
      </w:r>
    </w:p>
    <w:p w14:paraId="71D1B18D" w14:textId="77777777" w:rsidR="00BC62CD" w:rsidRDefault="00BC62CD" w:rsidP="00A61BDC">
      <w:pPr>
        <w:tabs>
          <w:tab w:val="clear" w:pos="567"/>
        </w:tabs>
        <w:spacing w:line="240" w:lineRule="auto"/>
        <w:rPr>
          <w:szCs w:val="22"/>
        </w:rPr>
      </w:pPr>
    </w:p>
    <w:p w14:paraId="14955AA6" w14:textId="77777777" w:rsidR="00BC62CD" w:rsidRPr="00651C35" w:rsidRDefault="00BC62CD" w:rsidP="00BC62CD">
      <w:pPr>
        <w:tabs>
          <w:tab w:val="clear" w:pos="567"/>
        </w:tabs>
        <w:spacing w:line="240" w:lineRule="auto"/>
        <w:rPr>
          <w:szCs w:val="22"/>
          <w:highlight w:val="lightGray"/>
          <w:u w:val="single"/>
        </w:rPr>
      </w:pPr>
      <w:r>
        <w:rPr>
          <w:highlight w:val="lightGray"/>
          <w:u w:val="single"/>
        </w:rPr>
        <w:t>Výrobce odpovědný za uvolnění šarže</w:t>
      </w:r>
    </w:p>
    <w:p w14:paraId="40C33F7D" w14:textId="77777777" w:rsidR="00BC62CD" w:rsidRPr="0064514C" w:rsidRDefault="00BC62CD" w:rsidP="00BC62CD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proofErr w:type="spellStart"/>
      <w:r>
        <w:rPr>
          <w:highlight w:val="lightGray"/>
        </w:rPr>
        <w:t>Lelypharma</w:t>
      </w:r>
      <w:proofErr w:type="spellEnd"/>
      <w:r>
        <w:rPr>
          <w:highlight w:val="lightGray"/>
        </w:rPr>
        <w:t xml:space="preserve"> B.V.</w:t>
      </w:r>
    </w:p>
    <w:p w14:paraId="1D676632" w14:textId="77777777" w:rsidR="00BC62CD" w:rsidRPr="0064514C" w:rsidRDefault="00BC62CD" w:rsidP="00BC62CD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proofErr w:type="spellStart"/>
      <w:r>
        <w:rPr>
          <w:highlight w:val="lightGray"/>
        </w:rPr>
        <w:t>Zuiveringweg</w:t>
      </w:r>
      <w:proofErr w:type="spellEnd"/>
      <w:r>
        <w:rPr>
          <w:highlight w:val="lightGray"/>
        </w:rPr>
        <w:t xml:space="preserve"> 42</w:t>
      </w:r>
    </w:p>
    <w:p w14:paraId="22C84017" w14:textId="77777777" w:rsidR="00BC62CD" w:rsidRPr="0064514C" w:rsidRDefault="00BC62CD" w:rsidP="00BC62CD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 xml:space="preserve">8243 PZ </w:t>
      </w:r>
      <w:proofErr w:type="spellStart"/>
      <w:r>
        <w:rPr>
          <w:highlight w:val="lightGray"/>
        </w:rPr>
        <w:t>Lelystad</w:t>
      </w:r>
      <w:proofErr w:type="spellEnd"/>
    </w:p>
    <w:p w14:paraId="774F8779" w14:textId="77777777" w:rsidR="00BC62CD" w:rsidRDefault="00BC62CD" w:rsidP="00BC62CD">
      <w:pPr>
        <w:tabs>
          <w:tab w:val="clear" w:pos="567"/>
        </w:tabs>
        <w:spacing w:line="240" w:lineRule="auto"/>
        <w:rPr>
          <w:szCs w:val="22"/>
        </w:rPr>
      </w:pPr>
      <w:r>
        <w:rPr>
          <w:highlight w:val="lightGray"/>
        </w:rPr>
        <w:t>Nizozemsko</w:t>
      </w:r>
    </w:p>
    <w:p w14:paraId="410D13FC" w14:textId="77777777" w:rsidR="00BC62CD" w:rsidRDefault="00BC62CD" w:rsidP="00A61BDC">
      <w:pPr>
        <w:tabs>
          <w:tab w:val="clear" w:pos="567"/>
        </w:tabs>
        <w:spacing w:line="240" w:lineRule="auto"/>
        <w:rPr>
          <w:szCs w:val="22"/>
        </w:rPr>
      </w:pPr>
    </w:p>
    <w:bookmarkEnd w:id="7"/>
    <w:p w14:paraId="2DC47B19" w14:textId="77777777" w:rsidR="00A61BDC" w:rsidRPr="006414D3" w:rsidRDefault="00A61BDC" w:rsidP="00A61BDC">
      <w:pPr>
        <w:rPr>
          <w:bCs/>
          <w:szCs w:val="22"/>
        </w:rPr>
      </w:pPr>
    </w:p>
    <w:p w14:paraId="65B32BAC" w14:textId="77777777" w:rsidR="00A61BDC" w:rsidRPr="006414D3" w:rsidRDefault="00A61BDC" w:rsidP="00A61BDC">
      <w:pPr>
        <w:rPr>
          <w:bCs/>
          <w:szCs w:val="22"/>
          <w:u w:val="single"/>
        </w:rPr>
      </w:pPr>
      <w:bookmarkStart w:id="8" w:name="_Hlk73552585"/>
      <w:r w:rsidRPr="00D92FCC">
        <w:rPr>
          <w:u w:val="single"/>
        </w:rPr>
        <w:t>Místní zástupci a kontaktní údaje pro hlášení podezření na nežádoucí účinky</w:t>
      </w:r>
      <w:r w:rsidRPr="00D92FCC">
        <w:t>:</w:t>
      </w:r>
    </w:p>
    <w:bookmarkEnd w:id="8"/>
    <w:p w14:paraId="44B7AA27" w14:textId="40A4CE7D" w:rsidR="00D92FCC" w:rsidRPr="00D92FCC" w:rsidRDefault="00D92FCC" w:rsidP="00D92FCC">
      <w:pPr>
        <w:tabs>
          <w:tab w:val="clear" w:pos="567"/>
          <w:tab w:val="left" w:pos="0"/>
        </w:tabs>
        <w:rPr>
          <w:bCs/>
          <w:szCs w:val="22"/>
        </w:rPr>
      </w:pPr>
      <w:proofErr w:type="spellStart"/>
      <w:r>
        <w:rPr>
          <w:bCs/>
          <w:szCs w:val="22"/>
        </w:rPr>
        <w:t>S</w:t>
      </w:r>
      <w:r w:rsidRPr="00D92FCC">
        <w:rPr>
          <w:bCs/>
          <w:szCs w:val="22"/>
        </w:rPr>
        <w:t>evaron</w:t>
      </w:r>
      <w:proofErr w:type="spellEnd"/>
      <w:r w:rsidRPr="00D92FCC">
        <w:rPr>
          <w:bCs/>
          <w:szCs w:val="22"/>
        </w:rPr>
        <w:t xml:space="preserve"> Poradenství s.r.o.</w:t>
      </w:r>
    </w:p>
    <w:p w14:paraId="1AD936BB" w14:textId="77777777" w:rsidR="00D92FCC" w:rsidRDefault="00D92FCC" w:rsidP="00D92FCC">
      <w:pPr>
        <w:tabs>
          <w:tab w:val="clear" w:pos="567"/>
          <w:tab w:val="left" w:pos="0"/>
        </w:tabs>
        <w:rPr>
          <w:bCs/>
          <w:szCs w:val="22"/>
        </w:rPr>
      </w:pPr>
      <w:r w:rsidRPr="00D92FCC">
        <w:rPr>
          <w:bCs/>
          <w:szCs w:val="22"/>
        </w:rPr>
        <w:t xml:space="preserve">Palackého třída </w:t>
      </w:r>
      <w:proofErr w:type="gramStart"/>
      <w:r w:rsidRPr="00D92FCC">
        <w:rPr>
          <w:bCs/>
          <w:szCs w:val="22"/>
        </w:rPr>
        <w:t>163a</w:t>
      </w:r>
      <w:proofErr w:type="gramEnd"/>
    </w:p>
    <w:p w14:paraId="7493E86D" w14:textId="77777777" w:rsidR="00D92FCC" w:rsidRDefault="00D92FCC" w:rsidP="00D92FCC">
      <w:pPr>
        <w:tabs>
          <w:tab w:val="clear" w:pos="567"/>
          <w:tab w:val="left" w:pos="0"/>
        </w:tabs>
        <w:rPr>
          <w:bCs/>
          <w:szCs w:val="22"/>
        </w:rPr>
      </w:pPr>
      <w:r w:rsidRPr="00D92FCC">
        <w:rPr>
          <w:bCs/>
          <w:szCs w:val="22"/>
        </w:rPr>
        <w:t>61200, Brno</w:t>
      </w:r>
    </w:p>
    <w:p w14:paraId="5507713C" w14:textId="60749C0F" w:rsidR="00D92FCC" w:rsidRPr="00D92FCC" w:rsidRDefault="00D92FCC" w:rsidP="00D92FCC">
      <w:pPr>
        <w:tabs>
          <w:tab w:val="clear" w:pos="567"/>
          <w:tab w:val="left" w:pos="0"/>
        </w:tabs>
        <w:rPr>
          <w:bCs/>
          <w:szCs w:val="22"/>
        </w:rPr>
      </w:pPr>
      <w:r w:rsidRPr="00D92FCC">
        <w:rPr>
          <w:bCs/>
          <w:szCs w:val="22"/>
        </w:rPr>
        <w:t>Czech Republic</w:t>
      </w:r>
    </w:p>
    <w:p w14:paraId="65AB54DD" w14:textId="66E9ACDA" w:rsidR="00D92FCC" w:rsidRDefault="00A90705" w:rsidP="00D92FCC">
      <w:pPr>
        <w:tabs>
          <w:tab w:val="clear" w:pos="567"/>
          <w:tab w:val="left" w:pos="0"/>
        </w:tabs>
        <w:rPr>
          <w:bCs/>
          <w:szCs w:val="22"/>
        </w:rPr>
      </w:pPr>
      <w:hyperlink r:id="rId23" w:history="1">
        <w:r w:rsidR="00D92FCC" w:rsidRPr="00FC19A4">
          <w:rPr>
            <w:rStyle w:val="Hypertextovodkaz"/>
            <w:bCs/>
            <w:szCs w:val="22"/>
          </w:rPr>
          <w:t>info@sevaron.cz</w:t>
        </w:r>
      </w:hyperlink>
    </w:p>
    <w:p w14:paraId="259F4B2A" w14:textId="2E01B504" w:rsidR="00A61BDC" w:rsidRDefault="00D92FCC" w:rsidP="00D92FCC">
      <w:pPr>
        <w:tabs>
          <w:tab w:val="clear" w:pos="567"/>
          <w:tab w:val="left" w:pos="0"/>
        </w:tabs>
        <w:rPr>
          <w:bCs/>
          <w:szCs w:val="22"/>
        </w:rPr>
      </w:pPr>
      <w:r w:rsidRPr="00D92FCC">
        <w:rPr>
          <w:bCs/>
          <w:szCs w:val="22"/>
        </w:rPr>
        <w:t>+420 774 303 077</w:t>
      </w:r>
    </w:p>
    <w:p w14:paraId="21B814C6" w14:textId="77777777" w:rsidR="00D92FCC" w:rsidRPr="006414D3" w:rsidRDefault="00D92FCC" w:rsidP="00D92FCC">
      <w:pPr>
        <w:tabs>
          <w:tab w:val="clear" w:pos="567"/>
          <w:tab w:val="left" w:pos="0"/>
        </w:tabs>
        <w:rPr>
          <w:bCs/>
          <w:szCs w:val="22"/>
        </w:rPr>
      </w:pPr>
    </w:p>
    <w:p w14:paraId="6B135063" w14:textId="77777777" w:rsidR="00A61BDC" w:rsidRPr="006414D3" w:rsidRDefault="00A61BDC" w:rsidP="00A61BDC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17.</w:t>
      </w:r>
      <w:r>
        <w:rPr>
          <w:b/>
        </w:rPr>
        <w:tab/>
      </w:r>
      <w:r w:rsidRPr="003226FF">
        <w:rPr>
          <w:b/>
        </w:rPr>
        <w:t>Další informace</w:t>
      </w:r>
    </w:p>
    <w:p w14:paraId="5EFFE6C4" w14:textId="77777777" w:rsidR="00A61BDC" w:rsidRPr="006414D3" w:rsidRDefault="00A61BDC" w:rsidP="00A61BDC">
      <w:pPr>
        <w:tabs>
          <w:tab w:val="clear" w:pos="567"/>
        </w:tabs>
        <w:spacing w:line="240" w:lineRule="auto"/>
        <w:rPr>
          <w:szCs w:val="22"/>
        </w:rPr>
      </w:pPr>
    </w:p>
    <w:p w14:paraId="3872F6B6" w14:textId="649F141B" w:rsidR="00107FDF" w:rsidRPr="003226FF" w:rsidRDefault="00107FDF" w:rsidP="00107FDF">
      <w:pPr>
        <w:spacing w:line="240" w:lineRule="auto"/>
      </w:pPr>
      <w:r w:rsidRPr="003226FF">
        <w:t xml:space="preserve">Přípravek obsahuje návykové látky. </w:t>
      </w:r>
      <w:r w:rsidRPr="003226FF">
        <w:rPr>
          <w:noProof/>
          <w:sz w:val="24"/>
          <w:szCs w:val="24"/>
          <w:lang w:eastAsia="cs-CZ"/>
        </w:rPr>
        <w:drawing>
          <wp:inline distT="0" distB="0" distL="0" distR="0" wp14:anchorId="2D6F67B4" wp14:editId="25EA3816">
            <wp:extent cx="496570" cy="295910"/>
            <wp:effectExtent l="0" t="0" r="0" b="889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4D056" w14:textId="77777777" w:rsidR="00C114FF" w:rsidRPr="00107FDF" w:rsidRDefault="00C114FF" w:rsidP="00590655">
      <w:pPr>
        <w:ind w:right="-318"/>
        <w:rPr>
          <w:szCs w:val="22"/>
        </w:rPr>
      </w:pPr>
    </w:p>
    <w:sectPr w:rsidR="00C114FF" w:rsidRPr="00107FDF" w:rsidSect="00C70F93">
      <w:headerReference w:type="default" r:id="rId25"/>
      <w:footerReference w:type="default" r:id="rId26"/>
      <w:footerReference w:type="first" r:id="rId2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09495" w14:textId="77777777" w:rsidR="00A90705" w:rsidRDefault="00A90705">
      <w:r>
        <w:separator/>
      </w:r>
    </w:p>
  </w:endnote>
  <w:endnote w:type="continuationSeparator" w:id="0">
    <w:p w14:paraId="0EEE38FE" w14:textId="77777777" w:rsidR="00A90705" w:rsidRDefault="00A9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2381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F3FA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CECD8" w14:textId="77777777" w:rsidR="00A90705" w:rsidRDefault="00A90705">
      <w:r>
        <w:separator/>
      </w:r>
    </w:p>
  </w:footnote>
  <w:footnote w:type="continuationSeparator" w:id="0">
    <w:p w14:paraId="49D10406" w14:textId="77777777" w:rsidR="00A90705" w:rsidRDefault="00A9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ECC0" w14:textId="77777777" w:rsidR="00EA0228" w:rsidRDefault="00EA02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FFFFFF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FFFFFFF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FFFFFFFF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594"/>
    <w:rsid w:val="00003B14"/>
    <w:rsid w:val="00014FD8"/>
    <w:rsid w:val="000163BD"/>
    <w:rsid w:val="00021B82"/>
    <w:rsid w:val="000238F9"/>
    <w:rsid w:val="00023F91"/>
    <w:rsid w:val="00024777"/>
    <w:rsid w:val="00024E21"/>
    <w:rsid w:val="000258B9"/>
    <w:rsid w:val="00026AD5"/>
    <w:rsid w:val="00027100"/>
    <w:rsid w:val="000322E1"/>
    <w:rsid w:val="00036C04"/>
    <w:rsid w:val="00036C50"/>
    <w:rsid w:val="00052D2B"/>
    <w:rsid w:val="000541E7"/>
    <w:rsid w:val="00054308"/>
    <w:rsid w:val="00054F55"/>
    <w:rsid w:val="00062945"/>
    <w:rsid w:val="000638A4"/>
    <w:rsid w:val="00065036"/>
    <w:rsid w:val="00070D27"/>
    <w:rsid w:val="00072CA5"/>
    <w:rsid w:val="0008011A"/>
    <w:rsid w:val="00080453"/>
    <w:rsid w:val="0008169A"/>
    <w:rsid w:val="00082200"/>
    <w:rsid w:val="000860CE"/>
    <w:rsid w:val="00092A37"/>
    <w:rsid w:val="000938A6"/>
    <w:rsid w:val="000955B5"/>
    <w:rsid w:val="00096E78"/>
    <w:rsid w:val="00097C1E"/>
    <w:rsid w:val="000A1DF5"/>
    <w:rsid w:val="000A3EEA"/>
    <w:rsid w:val="000A518F"/>
    <w:rsid w:val="000A7076"/>
    <w:rsid w:val="000B06A0"/>
    <w:rsid w:val="000B5B32"/>
    <w:rsid w:val="000B7873"/>
    <w:rsid w:val="000C02A1"/>
    <w:rsid w:val="000C1D4F"/>
    <w:rsid w:val="000C687A"/>
    <w:rsid w:val="000C6C46"/>
    <w:rsid w:val="000D67D0"/>
    <w:rsid w:val="000E195C"/>
    <w:rsid w:val="000E1DFD"/>
    <w:rsid w:val="000E3602"/>
    <w:rsid w:val="000E705A"/>
    <w:rsid w:val="000F38DA"/>
    <w:rsid w:val="000F5822"/>
    <w:rsid w:val="000F796B"/>
    <w:rsid w:val="0010031E"/>
    <w:rsid w:val="0010063B"/>
    <w:rsid w:val="001012EB"/>
    <w:rsid w:val="001078D1"/>
    <w:rsid w:val="00107FDF"/>
    <w:rsid w:val="00111185"/>
    <w:rsid w:val="00115782"/>
    <w:rsid w:val="0012285B"/>
    <w:rsid w:val="00124F36"/>
    <w:rsid w:val="00125666"/>
    <w:rsid w:val="00125C80"/>
    <w:rsid w:val="001341F1"/>
    <w:rsid w:val="0013799F"/>
    <w:rsid w:val="00137D03"/>
    <w:rsid w:val="00140DF6"/>
    <w:rsid w:val="00145C3F"/>
    <w:rsid w:val="00145D34"/>
    <w:rsid w:val="00146284"/>
    <w:rsid w:val="0014690F"/>
    <w:rsid w:val="0015098E"/>
    <w:rsid w:val="00164543"/>
    <w:rsid w:val="001674D3"/>
    <w:rsid w:val="00171276"/>
    <w:rsid w:val="00175264"/>
    <w:rsid w:val="001754B0"/>
    <w:rsid w:val="001803D2"/>
    <w:rsid w:val="0018228B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665"/>
    <w:rsid w:val="001A0E2C"/>
    <w:rsid w:val="001A28C9"/>
    <w:rsid w:val="001A34BC"/>
    <w:rsid w:val="001A3F9F"/>
    <w:rsid w:val="001A4AC0"/>
    <w:rsid w:val="001B1C77"/>
    <w:rsid w:val="001B26EB"/>
    <w:rsid w:val="001B6F4A"/>
    <w:rsid w:val="001C1D79"/>
    <w:rsid w:val="001C5288"/>
    <w:rsid w:val="001C5B03"/>
    <w:rsid w:val="001D503D"/>
    <w:rsid w:val="001D6D96"/>
    <w:rsid w:val="001E5621"/>
    <w:rsid w:val="001F3EF9"/>
    <w:rsid w:val="001F5F74"/>
    <w:rsid w:val="001F627D"/>
    <w:rsid w:val="001F6622"/>
    <w:rsid w:val="001F7844"/>
    <w:rsid w:val="001F7CD5"/>
    <w:rsid w:val="0020126C"/>
    <w:rsid w:val="00207D12"/>
    <w:rsid w:val="002100FC"/>
    <w:rsid w:val="002102D5"/>
    <w:rsid w:val="00210B47"/>
    <w:rsid w:val="00213890"/>
    <w:rsid w:val="00214E52"/>
    <w:rsid w:val="002207C0"/>
    <w:rsid w:val="0022204C"/>
    <w:rsid w:val="00224B93"/>
    <w:rsid w:val="00233C6B"/>
    <w:rsid w:val="0023676E"/>
    <w:rsid w:val="002414B6"/>
    <w:rsid w:val="002422EB"/>
    <w:rsid w:val="00242397"/>
    <w:rsid w:val="00243267"/>
    <w:rsid w:val="00243A33"/>
    <w:rsid w:val="00244B2F"/>
    <w:rsid w:val="0024580F"/>
    <w:rsid w:val="002459FE"/>
    <w:rsid w:val="002468A0"/>
    <w:rsid w:val="00247A48"/>
    <w:rsid w:val="00250DD1"/>
    <w:rsid w:val="00251183"/>
    <w:rsid w:val="00251689"/>
    <w:rsid w:val="0025267C"/>
    <w:rsid w:val="0025392E"/>
    <w:rsid w:val="00253B6B"/>
    <w:rsid w:val="002617BF"/>
    <w:rsid w:val="00264CF2"/>
    <w:rsid w:val="00265656"/>
    <w:rsid w:val="00265E77"/>
    <w:rsid w:val="00266155"/>
    <w:rsid w:val="0027270B"/>
    <w:rsid w:val="002751A9"/>
    <w:rsid w:val="002811A4"/>
    <w:rsid w:val="002815C1"/>
    <w:rsid w:val="00282E7B"/>
    <w:rsid w:val="002838C8"/>
    <w:rsid w:val="00290805"/>
    <w:rsid w:val="00290C2A"/>
    <w:rsid w:val="002931DD"/>
    <w:rsid w:val="00295140"/>
    <w:rsid w:val="002A0DE8"/>
    <w:rsid w:val="002A0E7C"/>
    <w:rsid w:val="002A21ED"/>
    <w:rsid w:val="002A3F88"/>
    <w:rsid w:val="002A47CE"/>
    <w:rsid w:val="002A710D"/>
    <w:rsid w:val="002B0F11"/>
    <w:rsid w:val="002B2E17"/>
    <w:rsid w:val="002B6560"/>
    <w:rsid w:val="002B694D"/>
    <w:rsid w:val="002B77D3"/>
    <w:rsid w:val="002C017D"/>
    <w:rsid w:val="002C4F7D"/>
    <w:rsid w:val="002C55FF"/>
    <w:rsid w:val="002C592B"/>
    <w:rsid w:val="002D0F6D"/>
    <w:rsid w:val="002D226C"/>
    <w:rsid w:val="002D300D"/>
    <w:rsid w:val="002D438A"/>
    <w:rsid w:val="002E0CD4"/>
    <w:rsid w:val="002E135D"/>
    <w:rsid w:val="002E3A90"/>
    <w:rsid w:val="002E46CC"/>
    <w:rsid w:val="002E4F48"/>
    <w:rsid w:val="002E62CB"/>
    <w:rsid w:val="002E6DF1"/>
    <w:rsid w:val="002E6ED9"/>
    <w:rsid w:val="002F0957"/>
    <w:rsid w:val="002F0FA5"/>
    <w:rsid w:val="002F2022"/>
    <w:rsid w:val="002F41AD"/>
    <w:rsid w:val="002F43F6"/>
    <w:rsid w:val="002F6DAA"/>
    <w:rsid w:val="002F71D5"/>
    <w:rsid w:val="003020BB"/>
    <w:rsid w:val="00302266"/>
    <w:rsid w:val="00304393"/>
    <w:rsid w:val="00305AB2"/>
    <w:rsid w:val="0030741C"/>
    <w:rsid w:val="0031032B"/>
    <w:rsid w:val="00311161"/>
    <w:rsid w:val="00311AB0"/>
    <w:rsid w:val="00312F7B"/>
    <w:rsid w:val="00316CB4"/>
    <w:rsid w:val="00316E87"/>
    <w:rsid w:val="003226FF"/>
    <w:rsid w:val="0032453E"/>
    <w:rsid w:val="00325053"/>
    <w:rsid w:val="003256AC"/>
    <w:rsid w:val="0033129D"/>
    <w:rsid w:val="003320ED"/>
    <w:rsid w:val="0033480E"/>
    <w:rsid w:val="00337123"/>
    <w:rsid w:val="00337E89"/>
    <w:rsid w:val="003411C0"/>
    <w:rsid w:val="00341866"/>
    <w:rsid w:val="00345261"/>
    <w:rsid w:val="00346444"/>
    <w:rsid w:val="003478B4"/>
    <w:rsid w:val="003535E0"/>
    <w:rsid w:val="00355D02"/>
    <w:rsid w:val="003568DF"/>
    <w:rsid w:val="0035769F"/>
    <w:rsid w:val="00366F56"/>
    <w:rsid w:val="003737C8"/>
    <w:rsid w:val="0037570D"/>
    <w:rsid w:val="0037589D"/>
    <w:rsid w:val="00376BB1"/>
    <w:rsid w:val="00377E23"/>
    <w:rsid w:val="003803CC"/>
    <w:rsid w:val="003819E0"/>
    <w:rsid w:val="00381C9F"/>
    <w:rsid w:val="0038277C"/>
    <w:rsid w:val="00382E57"/>
    <w:rsid w:val="003837F1"/>
    <w:rsid w:val="003841FC"/>
    <w:rsid w:val="00385BFA"/>
    <w:rsid w:val="0038638B"/>
    <w:rsid w:val="003909E0"/>
    <w:rsid w:val="00393E09"/>
    <w:rsid w:val="00395B15"/>
    <w:rsid w:val="00396026"/>
    <w:rsid w:val="003A2D9B"/>
    <w:rsid w:val="003A31B9"/>
    <w:rsid w:val="003A3E2F"/>
    <w:rsid w:val="003A6CCB"/>
    <w:rsid w:val="003B10C4"/>
    <w:rsid w:val="003B32CD"/>
    <w:rsid w:val="003B48EB"/>
    <w:rsid w:val="003B5CD1"/>
    <w:rsid w:val="003C33FF"/>
    <w:rsid w:val="003C3DFF"/>
    <w:rsid w:val="003C64A5"/>
    <w:rsid w:val="003D03CC"/>
    <w:rsid w:val="003D378C"/>
    <w:rsid w:val="003D3893"/>
    <w:rsid w:val="003D4BB7"/>
    <w:rsid w:val="003E0116"/>
    <w:rsid w:val="003E26C3"/>
    <w:rsid w:val="003F0BC8"/>
    <w:rsid w:val="003F0D6C"/>
    <w:rsid w:val="003F0F26"/>
    <w:rsid w:val="003F12D9"/>
    <w:rsid w:val="003F1B4C"/>
    <w:rsid w:val="003F3CE6"/>
    <w:rsid w:val="003F40AC"/>
    <w:rsid w:val="003F677F"/>
    <w:rsid w:val="004008F6"/>
    <w:rsid w:val="00412BBE"/>
    <w:rsid w:val="00414B20"/>
    <w:rsid w:val="00417DE3"/>
    <w:rsid w:val="00417EBE"/>
    <w:rsid w:val="004204DF"/>
    <w:rsid w:val="00420850"/>
    <w:rsid w:val="00423607"/>
    <w:rsid w:val="00423968"/>
    <w:rsid w:val="00423F4A"/>
    <w:rsid w:val="004247C6"/>
    <w:rsid w:val="00427054"/>
    <w:rsid w:val="004304B1"/>
    <w:rsid w:val="00432DA8"/>
    <w:rsid w:val="0043320A"/>
    <w:rsid w:val="004332E3"/>
    <w:rsid w:val="00433ABF"/>
    <w:rsid w:val="004371A3"/>
    <w:rsid w:val="004403A1"/>
    <w:rsid w:val="00440631"/>
    <w:rsid w:val="00443504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2AB"/>
    <w:rsid w:val="004661D9"/>
    <w:rsid w:val="00474C50"/>
    <w:rsid w:val="004771F9"/>
    <w:rsid w:val="0048051C"/>
    <w:rsid w:val="00482B31"/>
    <w:rsid w:val="00485A43"/>
    <w:rsid w:val="00486006"/>
    <w:rsid w:val="00486BAD"/>
    <w:rsid w:val="00486BBE"/>
    <w:rsid w:val="00487123"/>
    <w:rsid w:val="00487477"/>
    <w:rsid w:val="004948E4"/>
    <w:rsid w:val="00495A75"/>
    <w:rsid w:val="00495CAE"/>
    <w:rsid w:val="004A1BD5"/>
    <w:rsid w:val="004A39E5"/>
    <w:rsid w:val="004A3D35"/>
    <w:rsid w:val="004A4670"/>
    <w:rsid w:val="004A61E1"/>
    <w:rsid w:val="004B040C"/>
    <w:rsid w:val="004B2344"/>
    <w:rsid w:val="004B5DDC"/>
    <w:rsid w:val="004B798E"/>
    <w:rsid w:val="004C2ABD"/>
    <w:rsid w:val="004C3EFE"/>
    <w:rsid w:val="004C5F62"/>
    <w:rsid w:val="004D3E58"/>
    <w:rsid w:val="004D52F9"/>
    <w:rsid w:val="004D6746"/>
    <w:rsid w:val="004D715B"/>
    <w:rsid w:val="004D767B"/>
    <w:rsid w:val="004E0F32"/>
    <w:rsid w:val="004E23A1"/>
    <w:rsid w:val="004E23EA"/>
    <w:rsid w:val="004E493C"/>
    <w:rsid w:val="004E623E"/>
    <w:rsid w:val="004E7092"/>
    <w:rsid w:val="004E7ECE"/>
    <w:rsid w:val="004F18D2"/>
    <w:rsid w:val="004F1D48"/>
    <w:rsid w:val="004F4DB1"/>
    <w:rsid w:val="004F6F64"/>
    <w:rsid w:val="005004EC"/>
    <w:rsid w:val="00503CC2"/>
    <w:rsid w:val="00506AAE"/>
    <w:rsid w:val="00514E4D"/>
    <w:rsid w:val="00517756"/>
    <w:rsid w:val="005202C6"/>
    <w:rsid w:val="005216A5"/>
    <w:rsid w:val="00523C53"/>
    <w:rsid w:val="0052527C"/>
    <w:rsid w:val="00527B8F"/>
    <w:rsid w:val="0053533F"/>
    <w:rsid w:val="00541ACD"/>
    <w:rsid w:val="00542012"/>
    <w:rsid w:val="00543DF5"/>
    <w:rsid w:val="00545A61"/>
    <w:rsid w:val="0055260D"/>
    <w:rsid w:val="005546B9"/>
    <w:rsid w:val="00555422"/>
    <w:rsid w:val="00555810"/>
    <w:rsid w:val="005573B6"/>
    <w:rsid w:val="00562DCA"/>
    <w:rsid w:val="0056568F"/>
    <w:rsid w:val="0057436C"/>
    <w:rsid w:val="00575DE3"/>
    <w:rsid w:val="005822FD"/>
    <w:rsid w:val="00582578"/>
    <w:rsid w:val="00582FE6"/>
    <w:rsid w:val="0058621D"/>
    <w:rsid w:val="00587DF8"/>
    <w:rsid w:val="00590655"/>
    <w:rsid w:val="00590B72"/>
    <w:rsid w:val="00597DE9"/>
    <w:rsid w:val="00597FED"/>
    <w:rsid w:val="005A14D3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27"/>
    <w:rsid w:val="005C210F"/>
    <w:rsid w:val="005C276A"/>
    <w:rsid w:val="005D380C"/>
    <w:rsid w:val="005D6E04"/>
    <w:rsid w:val="005D7A12"/>
    <w:rsid w:val="005E37C9"/>
    <w:rsid w:val="005E53EE"/>
    <w:rsid w:val="005E61C6"/>
    <w:rsid w:val="005F0542"/>
    <w:rsid w:val="005F0F72"/>
    <w:rsid w:val="005F12F0"/>
    <w:rsid w:val="005F1C1F"/>
    <w:rsid w:val="005F1CA8"/>
    <w:rsid w:val="005F346D"/>
    <w:rsid w:val="005F38FB"/>
    <w:rsid w:val="00602D3B"/>
    <w:rsid w:val="0060326F"/>
    <w:rsid w:val="006058B9"/>
    <w:rsid w:val="00606EA1"/>
    <w:rsid w:val="006128F0"/>
    <w:rsid w:val="0061726B"/>
    <w:rsid w:val="00617B81"/>
    <w:rsid w:val="00622CA9"/>
    <w:rsid w:val="00623422"/>
    <w:rsid w:val="0062387A"/>
    <w:rsid w:val="0063377D"/>
    <w:rsid w:val="00634126"/>
    <w:rsid w:val="006344BE"/>
    <w:rsid w:val="00634A66"/>
    <w:rsid w:val="00636424"/>
    <w:rsid w:val="00640336"/>
    <w:rsid w:val="00640FC9"/>
    <w:rsid w:val="006414D3"/>
    <w:rsid w:val="006432F2"/>
    <w:rsid w:val="0064514C"/>
    <w:rsid w:val="0064662C"/>
    <w:rsid w:val="00651FC9"/>
    <w:rsid w:val="0065320F"/>
    <w:rsid w:val="00653D64"/>
    <w:rsid w:val="00654E13"/>
    <w:rsid w:val="00656503"/>
    <w:rsid w:val="00660E64"/>
    <w:rsid w:val="006617A0"/>
    <w:rsid w:val="00667489"/>
    <w:rsid w:val="0066774D"/>
    <w:rsid w:val="00670D44"/>
    <w:rsid w:val="00673BAA"/>
    <w:rsid w:val="00673F4C"/>
    <w:rsid w:val="00676AFC"/>
    <w:rsid w:val="0067760F"/>
    <w:rsid w:val="006807CD"/>
    <w:rsid w:val="00682D43"/>
    <w:rsid w:val="006854F5"/>
    <w:rsid w:val="00685BAF"/>
    <w:rsid w:val="00690463"/>
    <w:rsid w:val="0069047F"/>
    <w:rsid w:val="006A0D03"/>
    <w:rsid w:val="006A41E9"/>
    <w:rsid w:val="006B12CB"/>
    <w:rsid w:val="006B4379"/>
    <w:rsid w:val="006B5916"/>
    <w:rsid w:val="006B5D3D"/>
    <w:rsid w:val="006C4775"/>
    <w:rsid w:val="006C4F4A"/>
    <w:rsid w:val="006C5E80"/>
    <w:rsid w:val="006C6A8E"/>
    <w:rsid w:val="006C7CEE"/>
    <w:rsid w:val="006D075E"/>
    <w:rsid w:val="006D09DC"/>
    <w:rsid w:val="006D3509"/>
    <w:rsid w:val="006D7C6E"/>
    <w:rsid w:val="006E13C4"/>
    <w:rsid w:val="006E15A2"/>
    <w:rsid w:val="006E2A2C"/>
    <w:rsid w:val="006E2F95"/>
    <w:rsid w:val="006E647D"/>
    <w:rsid w:val="006E6D39"/>
    <w:rsid w:val="006F148B"/>
    <w:rsid w:val="00703F77"/>
    <w:rsid w:val="00705EAF"/>
    <w:rsid w:val="0070773E"/>
    <w:rsid w:val="007101CC"/>
    <w:rsid w:val="00715C55"/>
    <w:rsid w:val="00716869"/>
    <w:rsid w:val="00721A48"/>
    <w:rsid w:val="0072289D"/>
    <w:rsid w:val="00724E3B"/>
    <w:rsid w:val="00725EEA"/>
    <w:rsid w:val="007276B6"/>
    <w:rsid w:val="00727E31"/>
    <w:rsid w:val="00730CE9"/>
    <w:rsid w:val="0073373D"/>
    <w:rsid w:val="007439DB"/>
    <w:rsid w:val="0075072C"/>
    <w:rsid w:val="007533F8"/>
    <w:rsid w:val="007568D8"/>
    <w:rsid w:val="00757C4A"/>
    <w:rsid w:val="00765316"/>
    <w:rsid w:val="007708C8"/>
    <w:rsid w:val="0077660F"/>
    <w:rsid w:val="0077719D"/>
    <w:rsid w:val="00780DF0"/>
    <w:rsid w:val="007810B7"/>
    <w:rsid w:val="00782F0F"/>
    <w:rsid w:val="00784491"/>
    <w:rsid w:val="0078538F"/>
    <w:rsid w:val="00787482"/>
    <w:rsid w:val="00794310"/>
    <w:rsid w:val="00796069"/>
    <w:rsid w:val="007967C2"/>
    <w:rsid w:val="007A286D"/>
    <w:rsid w:val="007A314D"/>
    <w:rsid w:val="007A38DF"/>
    <w:rsid w:val="007A3C54"/>
    <w:rsid w:val="007B00E5"/>
    <w:rsid w:val="007B20CF"/>
    <w:rsid w:val="007B2499"/>
    <w:rsid w:val="007B72E1"/>
    <w:rsid w:val="007B783A"/>
    <w:rsid w:val="007B7C99"/>
    <w:rsid w:val="007C1B95"/>
    <w:rsid w:val="007C3DF3"/>
    <w:rsid w:val="007C796D"/>
    <w:rsid w:val="007D723F"/>
    <w:rsid w:val="007D73FB"/>
    <w:rsid w:val="007D7996"/>
    <w:rsid w:val="007E2F2D"/>
    <w:rsid w:val="007E63EA"/>
    <w:rsid w:val="007F1433"/>
    <w:rsid w:val="007F1491"/>
    <w:rsid w:val="007F22B8"/>
    <w:rsid w:val="007F2F03"/>
    <w:rsid w:val="007F4978"/>
    <w:rsid w:val="007F4DBB"/>
    <w:rsid w:val="00800C99"/>
    <w:rsid w:val="00800FE0"/>
    <w:rsid w:val="00804769"/>
    <w:rsid w:val="008053F2"/>
    <w:rsid w:val="008066AD"/>
    <w:rsid w:val="008115D3"/>
    <w:rsid w:val="00814AF1"/>
    <w:rsid w:val="0081517F"/>
    <w:rsid w:val="00815370"/>
    <w:rsid w:val="008175DB"/>
    <w:rsid w:val="0082153D"/>
    <w:rsid w:val="00822C74"/>
    <w:rsid w:val="008255AA"/>
    <w:rsid w:val="00826536"/>
    <w:rsid w:val="00827B33"/>
    <w:rsid w:val="00830FF3"/>
    <w:rsid w:val="008334BF"/>
    <w:rsid w:val="00836B8C"/>
    <w:rsid w:val="00840062"/>
    <w:rsid w:val="008410C5"/>
    <w:rsid w:val="00846C08"/>
    <w:rsid w:val="008530E7"/>
    <w:rsid w:val="00855BC0"/>
    <w:rsid w:val="00856BDB"/>
    <w:rsid w:val="00857675"/>
    <w:rsid w:val="008658AD"/>
    <w:rsid w:val="00866B14"/>
    <w:rsid w:val="00872000"/>
    <w:rsid w:val="00872C48"/>
    <w:rsid w:val="00875477"/>
    <w:rsid w:val="00875EC3"/>
    <w:rsid w:val="008763E7"/>
    <w:rsid w:val="008808C5"/>
    <w:rsid w:val="0088152C"/>
    <w:rsid w:val="00881A7C"/>
    <w:rsid w:val="00883BEE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23D5"/>
    <w:rsid w:val="008B24A8"/>
    <w:rsid w:val="008B25E4"/>
    <w:rsid w:val="008B3D78"/>
    <w:rsid w:val="008B7178"/>
    <w:rsid w:val="008C261B"/>
    <w:rsid w:val="008C4FCA"/>
    <w:rsid w:val="008C7882"/>
    <w:rsid w:val="008D2261"/>
    <w:rsid w:val="008D33B1"/>
    <w:rsid w:val="008D4C28"/>
    <w:rsid w:val="008D577B"/>
    <w:rsid w:val="008D60B9"/>
    <w:rsid w:val="008D7A98"/>
    <w:rsid w:val="008E17C4"/>
    <w:rsid w:val="008E45C4"/>
    <w:rsid w:val="008E64B1"/>
    <w:rsid w:val="008E64FA"/>
    <w:rsid w:val="008E74ED"/>
    <w:rsid w:val="008F09C7"/>
    <w:rsid w:val="008F4DEF"/>
    <w:rsid w:val="008F6771"/>
    <w:rsid w:val="00902D35"/>
    <w:rsid w:val="00903D0D"/>
    <w:rsid w:val="009048E1"/>
    <w:rsid w:val="00904DC4"/>
    <w:rsid w:val="0090598C"/>
    <w:rsid w:val="009071BB"/>
    <w:rsid w:val="00913885"/>
    <w:rsid w:val="00914375"/>
    <w:rsid w:val="00915ABF"/>
    <w:rsid w:val="00921CAD"/>
    <w:rsid w:val="00927B15"/>
    <w:rsid w:val="009309E5"/>
    <w:rsid w:val="009311ED"/>
    <w:rsid w:val="00931D41"/>
    <w:rsid w:val="00933D18"/>
    <w:rsid w:val="0093618C"/>
    <w:rsid w:val="00937DB2"/>
    <w:rsid w:val="00942221"/>
    <w:rsid w:val="00950559"/>
    <w:rsid w:val="00950FBB"/>
    <w:rsid w:val="00951118"/>
    <w:rsid w:val="0095122F"/>
    <w:rsid w:val="00953349"/>
    <w:rsid w:val="00953E4C"/>
    <w:rsid w:val="00953EA7"/>
    <w:rsid w:val="00954E0C"/>
    <w:rsid w:val="00961156"/>
    <w:rsid w:val="00964F03"/>
    <w:rsid w:val="00966F1F"/>
    <w:rsid w:val="00973CF8"/>
    <w:rsid w:val="00975676"/>
    <w:rsid w:val="00976467"/>
    <w:rsid w:val="00976D32"/>
    <w:rsid w:val="00976E42"/>
    <w:rsid w:val="00977979"/>
    <w:rsid w:val="009844F7"/>
    <w:rsid w:val="0098467D"/>
    <w:rsid w:val="00986655"/>
    <w:rsid w:val="009938F7"/>
    <w:rsid w:val="009A05AA"/>
    <w:rsid w:val="009A0F01"/>
    <w:rsid w:val="009A22D9"/>
    <w:rsid w:val="009A2D5A"/>
    <w:rsid w:val="009A6509"/>
    <w:rsid w:val="009A670F"/>
    <w:rsid w:val="009A6E2F"/>
    <w:rsid w:val="009B2969"/>
    <w:rsid w:val="009B2C7E"/>
    <w:rsid w:val="009B2CA0"/>
    <w:rsid w:val="009B5E7E"/>
    <w:rsid w:val="009B6DBD"/>
    <w:rsid w:val="009C1005"/>
    <w:rsid w:val="009C108A"/>
    <w:rsid w:val="009C2E47"/>
    <w:rsid w:val="009C6BFB"/>
    <w:rsid w:val="009D0C05"/>
    <w:rsid w:val="009D1E43"/>
    <w:rsid w:val="009E2C00"/>
    <w:rsid w:val="009E401E"/>
    <w:rsid w:val="009E49AD"/>
    <w:rsid w:val="009E4CC5"/>
    <w:rsid w:val="009E70F4"/>
    <w:rsid w:val="009E72A3"/>
    <w:rsid w:val="009F1AD2"/>
    <w:rsid w:val="00A00204"/>
    <w:rsid w:val="00A00C78"/>
    <w:rsid w:val="00A0479E"/>
    <w:rsid w:val="00A07979"/>
    <w:rsid w:val="00A11755"/>
    <w:rsid w:val="00A207FB"/>
    <w:rsid w:val="00A24016"/>
    <w:rsid w:val="00A265BF"/>
    <w:rsid w:val="00A26F44"/>
    <w:rsid w:val="00A34FAB"/>
    <w:rsid w:val="00A406B2"/>
    <w:rsid w:val="00A42C43"/>
    <w:rsid w:val="00A4313D"/>
    <w:rsid w:val="00A43CD5"/>
    <w:rsid w:val="00A50120"/>
    <w:rsid w:val="00A53ED6"/>
    <w:rsid w:val="00A53EEC"/>
    <w:rsid w:val="00A549BC"/>
    <w:rsid w:val="00A60351"/>
    <w:rsid w:val="00A61BDC"/>
    <w:rsid w:val="00A61C6D"/>
    <w:rsid w:val="00A63015"/>
    <w:rsid w:val="00A6387B"/>
    <w:rsid w:val="00A660AB"/>
    <w:rsid w:val="00A66254"/>
    <w:rsid w:val="00A678B4"/>
    <w:rsid w:val="00A704A3"/>
    <w:rsid w:val="00A75E23"/>
    <w:rsid w:val="00A82AA0"/>
    <w:rsid w:val="00A82F47"/>
    <w:rsid w:val="00A82F8A"/>
    <w:rsid w:val="00A84622"/>
    <w:rsid w:val="00A84BF0"/>
    <w:rsid w:val="00A90705"/>
    <w:rsid w:val="00A9226B"/>
    <w:rsid w:val="00A9575C"/>
    <w:rsid w:val="00A95B56"/>
    <w:rsid w:val="00A969AF"/>
    <w:rsid w:val="00AB1A2E"/>
    <w:rsid w:val="00AB328A"/>
    <w:rsid w:val="00AB391E"/>
    <w:rsid w:val="00AB4918"/>
    <w:rsid w:val="00AB4BC8"/>
    <w:rsid w:val="00AB6BA7"/>
    <w:rsid w:val="00AB7BE8"/>
    <w:rsid w:val="00AC5B27"/>
    <w:rsid w:val="00AC7527"/>
    <w:rsid w:val="00AD0710"/>
    <w:rsid w:val="00AD19B5"/>
    <w:rsid w:val="00AD4DB9"/>
    <w:rsid w:val="00AD63C0"/>
    <w:rsid w:val="00AD6F24"/>
    <w:rsid w:val="00AE35B2"/>
    <w:rsid w:val="00AE3C08"/>
    <w:rsid w:val="00AE6AA0"/>
    <w:rsid w:val="00AF08C6"/>
    <w:rsid w:val="00B078DD"/>
    <w:rsid w:val="00B113B9"/>
    <w:rsid w:val="00B119A2"/>
    <w:rsid w:val="00B11CF4"/>
    <w:rsid w:val="00B162FB"/>
    <w:rsid w:val="00B1712F"/>
    <w:rsid w:val="00B177F2"/>
    <w:rsid w:val="00B201F1"/>
    <w:rsid w:val="00B212C3"/>
    <w:rsid w:val="00B221B7"/>
    <w:rsid w:val="00B2603F"/>
    <w:rsid w:val="00B304E7"/>
    <w:rsid w:val="00B318B6"/>
    <w:rsid w:val="00B33328"/>
    <w:rsid w:val="00B3499B"/>
    <w:rsid w:val="00B35A27"/>
    <w:rsid w:val="00B3798A"/>
    <w:rsid w:val="00B41F47"/>
    <w:rsid w:val="00B42678"/>
    <w:rsid w:val="00B44468"/>
    <w:rsid w:val="00B55897"/>
    <w:rsid w:val="00B571C4"/>
    <w:rsid w:val="00B60AC9"/>
    <w:rsid w:val="00B61776"/>
    <w:rsid w:val="00B67323"/>
    <w:rsid w:val="00B715F2"/>
    <w:rsid w:val="00B74071"/>
    <w:rsid w:val="00B7428E"/>
    <w:rsid w:val="00B74B67"/>
    <w:rsid w:val="00B779AA"/>
    <w:rsid w:val="00B808D3"/>
    <w:rsid w:val="00B81C95"/>
    <w:rsid w:val="00B82330"/>
    <w:rsid w:val="00B82514"/>
    <w:rsid w:val="00B82842"/>
    <w:rsid w:val="00B82ED4"/>
    <w:rsid w:val="00B8424F"/>
    <w:rsid w:val="00B8491B"/>
    <w:rsid w:val="00B86896"/>
    <w:rsid w:val="00B875A6"/>
    <w:rsid w:val="00B92D13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204"/>
    <w:rsid w:val="00BC28DE"/>
    <w:rsid w:val="00BC2E39"/>
    <w:rsid w:val="00BC4513"/>
    <w:rsid w:val="00BC62CD"/>
    <w:rsid w:val="00BC69EA"/>
    <w:rsid w:val="00BD2364"/>
    <w:rsid w:val="00BD28E3"/>
    <w:rsid w:val="00BE117E"/>
    <w:rsid w:val="00BE3261"/>
    <w:rsid w:val="00BE6B77"/>
    <w:rsid w:val="00BF00EF"/>
    <w:rsid w:val="00BF58FC"/>
    <w:rsid w:val="00C01F77"/>
    <w:rsid w:val="00C01FFC"/>
    <w:rsid w:val="00C05321"/>
    <w:rsid w:val="00C05E4D"/>
    <w:rsid w:val="00C06AE4"/>
    <w:rsid w:val="00C06C27"/>
    <w:rsid w:val="00C114FF"/>
    <w:rsid w:val="00C11D49"/>
    <w:rsid w:val="00C171A1"/>
    <w:rsid w:val="00C171A4"/>
    <w:rsid w:val="00C17F12"/>
    <w:rsid w:val="00C20734"/>
    <w:rsid w:val="00C213A4"/>
    <w:rsid w:val="00C21C1A"/>
    <w:rsid w:val="00C237E9"/>
    <w:rsid w:val="00C27F75"/>
    <w:rsid w:val="00C31EBB"/>
    <w:rsid w:val="00C32989"/>
    <w:rsid w:val="00C36883"/>
    <w:rsid w:val="00C40928"/>
    <w:rsid w:val="00C40CFF"/>
    <w:rsid w:val="00C42697"/>
    <w:rsid w:val="00C43F01"/>
    <w:rsid w:val="00C47552"/>
    <w:rsid w:val="00C551ED"/>
    <w:rsid w:val="00C57A81"/>
    <w:rsid w:val="00C60193"/>
    <w:rsid w:val="00C634D4"/>
    <w:rsid w:val="00C63AA5"/>
    <w:rsid w:val="00C65071"/>
    <w:rsid w:val="00C6727C"/>
    <w:rsid w:val="00C6744C"/>
    <w:rsid w:val="00C675BB"/>
    <w:rsid w:val="00C7090A"/>
    <w:rsid w:val="00C70BD1"/>
    <w:rsid w:val="00C70F93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5E5"/>
    <w:rsid w:val="00C8535F"/>
    <w:rsid w:val="00C90EDA"/>
    <w:rsid w:val="00C932E9"/>
    <w:rsid w:val="00C9512C"/>
    <w:rsid w:val="00C959E7"/>
    <w:rsid w:val="00CA008A"/>
    <w:rsid w:val="00CA1487"/>
    <w:rsid w:val="00CB2F04"/>
    <w:rsid w:val="00CB348D"/>
    <w:rsid w:val="00CC1DE1"/>
    <w:rsid w:val="00CC1E65"/>
    <w:rsid w:val="00CC567A"/>
    <w:rsid w:val="00CD04F7"/>
    <w:rsid w:val="00CD2A6F"/>
    <w:rsid w:val="00CD4059"/>
    <w:rsid w:val="00CD4E5A"/>
    <w:rsid w:val="00CD6AFD"/>
    <w:rsid w:val="00CE03CE"/>
    <w:rsid w:val="00CE06C5"/>
    <w:rsid w:val="00CE0DA4"/>
    <w:rsid w:val="00CE0F5D"/>
    <w:rsid w:val="00CE1A6A"/>
    <w:rsid w:val="00CE2262"/>
    <w:rsid w:val="00CE360D"/>
    <w:rsid w:val="00CF0DFF"/>
    <w:rsid w:val="00CF6C81"/>
    <w:rsid w:val="00D00D36"/>
    <w:rsid w:val="00D028A9"/>
    <w:rsid w:val="00D0359D"/>
    <w:rsid w:val="00D04DED"/>
    <w:rsid w:val="00D1089A"/>
    <w:rsid w:val="00D116BD"/>
    <w:rsid w:val="00D11B8C"/>
    <w:rsid w:val="00D2001A"/>
    <w:rsid w:val="00D20684"/>
    <w:rsid w:val="00D2408F"/>
    <w:rsid w:val="00D26B62"/>
    <w:rsid w:val="00D30FB1"/>
    <w:rsid w:val="00D32624"/>
    <w:rsid w:val="00D335CC"/>
    <w:rsid w:val="00D33BF8"/>
    <w:rsid w:val="00D3691A"/>
    <w:rsid w:val="00D377E2"/>
    <w:rsid w:val="00D42854"/>
    <w:rsid w:val="00D42DCB"/>
    <w:rsid w:val="00D4356B"/>
    <w:rsid w:val="00D45482"/>
    <w:rsid w:val="00D46212"/>
    <w:rsid w:val="00D46DF2"/>
    <w:rsid w:val="00D47674"/>
    <w:rsid w:val="00D5338C"/>
    <w:rsid w:val="00D55A59"/>
    <w:rsid w:val="00D57597"/>
    <w:rsid w:val="00D606B2"/>
    <w:rsid w:val="00D625A7"/>
    <w:rsid w:val="00D64074"/>
    <w:rsid w:val="00D65777"/>
    <w:rsid w:val="00D66B32"/>
    <w:rsid w:val="00D7061D"/>
    <w:rsid w:val="00D71F13"/>
    <w:rsid w:val="00D728A0"/>
    <w:rsid w:val="00D80C29"/>
    <w:rsid w:val="00D8127E"/>
    <w:rsid w:val="00D814CA"/>
    <w:rsid w:val="00D83661"/>
    <w:rsid w:val="00D8724F"/>
    <w:rsid w:val="00D92FCC"/>
    <w:rsid w:val="00D97A96"/>
    <w:rsid w:val="00D97E7D"/>
    <w:rsid w:val="00DA00D3"/>
    <w:rsid w:val="00DA01CA"/>
    <w:rsid w:val="00DA0483"/>
    <w:rsid w:val="00DB13E0"/>
    <w:rsid w:val="00DB2810"/>
    <w:rsid w:val="00DB3439"/>
    <w:rsid w:val="00DB3618"/>
    <w:rsid w:val="00DB468A"/>
    <w:rsid w:val="00DB6A6D"/>
    <w:rsid w:val="00DC2946"/>
    <w:rsid w:val="00DC34A3"/>
    <w:rsid w:val="00DC550F"/>
    <w:rsid w:val="00DC64FD"/>
    <w:rsid w:val="00DD53C3"/>
    <w:rsid w:val="00DE127F"/>
    <w:rsid w:val="00DE1F32"/>
    <w:rsid w:val="00DE410A"/>
    <w:rsid w:val="00DE424A"/>
    <w:rsid w:val="00DE4419"/>
    <w:rsid w:val="00DE5C8C"/>
    <w:rsid w:val="00DE67C4"/>
    <w:rsid w:val="00DE74B7"/>
    <w:rsid w:val="00DE7DA2"/>
    <w:rsid w:val="00DF0ACA"/>
    <w:rsid w:val="00DF2245"/>
    <w:rsid w:val="00DF4CE9"/>
    <w:rsid w:val="00DF55AF"/>
    <w:rsid w:val="00DF77CF"/>
    <w:rsid w:val="00E026E8"/>
    <w:rsid w:val="00E02F85"/>
    <w:rsid w:val="00E060F7"/>
    <w:rsid w:val="00E10896"/>
    <w:rsid w:val="00E1204A"/>
    <w:rsid w:val="00E14C47"/>
    <w:rsid w:val="00E22698"/>
    <w:rsid w:val="00E25B7C"/>
    <w:rsid w:val="00E30765"/>
    <w:rsid w:val="00E3076B"/>
    <w:rsid w:val="00E3725B"/>
    <w:rsid w:val="00E411BB"/>
    <w:rsid w:val="00E41AEA"/>
    <w:rsid w:val="00E434D1"/>
    <w:rsid w:val="00E4443E"/>
    <w:rsid w:val="00E5226A"/>
    <w:rsid w:val="00E569CC"/>
    <w:rsid w:val="00E56CBB"/>
    <w:rsid w:val="00E61950"/>
    <w:rsid w:val="00E61E51"/>
    <w:rsid w:val="00E646B1"/>
    <w:rsid w:val="00E6552A"/>
    <w:rsid w:val="00E6707D"/>
    <w:rsid w:val="00E70337"/>
    <w:rsid w:val="00E70E7C"/>
    <w:rsid w:val="00E71313"/>
    <w:rsid w:val="00E71F1D"/>
    <w:rsid w:val="00E72606"/>
    <w:rsid w:val="00E73C3E"/>
    <w:rsid w:val="00E74050"/>
    <w:rsid w:val="00E8064C"/>
    <w:rsid w:val="00E82496"/>
    <w:rsid w:val="00E834CD"/>
    <w:rsid w:val="00E846DC"/>
    <w:rsid w:val="00E84E9D"/>
    <w:rsid w:val="00E86CEE"/>
    <w:rsid w:val="00E935AF"/>
    <w:rsid w:val="00EA0228"/>
    <w:rsid w:val="00EB0E20"/>
    <w:rsid w:val="00EB1A80"/>
    <w:rsid w:val="00EB457B"/>
    <w:rsid w:val="00EC1AD8"/>
    <w:rsid w:val="00EC47C4"/>
    <w:rsid w:val="00EC49C1"/>
    <w:rsid w:val="00EC4F3A"/>
    <w:rsid w:val="00EC5003"/>
    <w:rsid w:val="00EC5E74"/>
    <w:rsid w:val="00ED0AA9"/>
    <w:rsid w:val="00ED201B"/>
    <w:rsid w:val="00ED5527"/>
    <w:rsid w:val="00ED594D"/>
    <w:rsid w:val="00EE36E1"/>
    <w:rsid w:val="00EE3EED"/>
    <w:rsid w:val="00EE6228"/>
    <w:rsid w:val="00EE7AC7"/>
    <w:rsid w:val="00EE7B3F"/>
    <w:rsid w:val="00EF3A8A"/>
    <w:rsid w:val="00F0054D"/>
    <w:rsid w:val="00F02467"/>
    <w:rsid w:val="00F04016"/>
    <w:rsid w:val="00F04D0E"/>
    <w:rsid w:val="00F05F6D"/>
    <w:rsid w:val="00F12214"/>
    <w:rsid w:val="00F1248F"/>
    <w:rsid w:val="00F12565"/>
    <w:rsid w:val="00F1379F"/>
    <w:rsid w:val="00F144BE"/>
    <w:rsid w:val="00F14ACA"/>
    <w:rsid w:val="00F17A0C"/>
    <w:rsid w:val="00F23927"/>
    <w:rsid w:val="00F23F39"/>
    <w:rsid w:val="00F24A5C"/>
    <w:rsid w:val="00F26A05"/>
    <w:rsid w:val="00F307CE"/>
    <w:rsid w:val="00F354C5"/>
    <w:rsid w:val="00F37108"/>
    <w:rsid w:val="00F40449"/>
    <w:rsid w:val="00F406F5"/>
    <w:rsid w:val="00F42A42"/>
    <w:rsid w:val="00F45B8E"/>
    <w:rsid w:val="00F47BAA"/>
    <w:rsid w:val="00F520FE"/>
    <w:rsid w:val="00F52EAB"/>
    <w:rsid w:val="00F55A04"/>
    <w:rsid w:val="00F61A31"/>
    <w:rsid w:val="00F64B09"/>
    <w:rsid w:val="00F66C29"/>
    <w:rsid w:val="00F66F00"/>
    <w:rsid w:val="00F67A2D"/>
    <w:rsid w:val="00F70A1B"/>
    <w:rsid w:val="00F72FDF"/>
    <w:rsid w:val="00F744D2"/>
    <w:rsid w:val="00F75788"/>
    <w:rsid w:val="00F758D1"/>
    <w:rsid w:val="00F75960"/>
    <w:rsid w:val="00F80186"/>
    <w:rsid w:val="00F82526"/>
    <w:rsid w:val="00F84672"/>
    <w:rsid w:val="00F84802"/>
    <w:rsid w:val="00F95A8C"/>
    <w:rsid w:val="00FA06FD"/>
    <w:rsid w:val="00FA4EE2"/>
    <w:rsid w:val="00FA515B"/>
    <w:rsid w:val="00FA6B90"/>
    <w:rsid w:val="00FA70F9"/>
    <w:rsid w:val="00FA74CB"/>
    <w:rsid w:val="00FB02A4"/>
    <w:rsid w:val="00FB077A"/>
    <w:rsid w:val="00FB207A"/>
    <w:rsid w:val="00FB2886"/>
    <w:rsid w:val="00FB466E"/>
    <w:rsid w:val="00FC02F3"/>
    <w:rsid w:val="00FC1375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04E"/>
    <w:rsid w:val="00FD7B98"/>
    <w:rsid w:val="00FF18D2"/>
    <w:rsid w:val="00FF22F5"/>
    <w:rsid w:val="00FF33E1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3F21A"/>
  <w15:chartTrackingRefBased/>
  <w15:docId w15:val="{3174E8D2-C770-4B69-A7C4-011FBAF8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9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/cs/farmakovigilance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dicines.health.europa.eu/veterin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dr@uskvbl.cz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mailto:info@sevaron.cz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uskvbl.cz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641f6cacd2cf6aba24fdc414333f8099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56ed2e4ae7c714948eeadc5eeb1d88d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  <Datum xmlns="54c22511-638e-4273-9837-ffa84345ba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8AEE-113F-4FFC-993F-79EE76477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0EB54-3D1F-264D-933F-018CEED4D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8FE6D-5D61-4897-9F19-794E57A52608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customXml/itemProps4.xml><?xml version="1.0" encoding="utf-8"?>
<ds:datastoreItem xmlns:ds="http://schemas.openxmlformats.org/officeDocument/2006/customXml" ds:itemID="{10AA575D-627C-454E-AF31-B25FB3EE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2319</Words>
  <Characters>13684</Characters>
  <Application>Microsoft Office Word</Application>
  <DocSecurity>0</DocSecurity>
  <Lines>114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Vqrdtemplateclean_en-corr</vt:lpstr>
      <vt:lpstr>Vqrdtemplateclean_en-corr</vt:lpstr>
      <vt:lpstr>Vqrdtemplateclean_en-corr</vt:lpstr>
    </vt:vector>
  </TitlesOfParts>
  <Company>EMEA</Company>
  <LinksUpToDate>false</LinksUpToDate>
  <CharactersWithSpaces>15972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Vqrdtemplateclean_en-corr</dc:title>
  <dc:subject>General-EMA/201224/2010</dc:subject>
  <dc:creator>Prizzi Monica</dc:creator>
  <cp:keywords/>
  <cp:lastModifiedBy>Neugebauerová Kateřina</cp:lastModifiedBy>
  <cp:revision>21</cp:revision>
  <cp:lastPrinted>2025-05-27T08:17:00Z</cp:lastPrinted>
  <dcterms:created xsi:type="dcterms:W3CDTF">2025-03-11T06:36:00Z</dcterms:created>
  <dcterms:modified xsi:type="dcterms:W3CDTF">2025-05-27T08:17:00Z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23/03/2022 10:49:41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EMA/404543/2021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EMA/404543/2021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23/03/2022 10:49:41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23/03/2022 10:49:41</vt:lpwstr>
  </property>
  <property fmtid="{D5CDD505-2E9C-101B-9397-08002B2CF9AE}" pid="36" name="DM_Name">
    <vt:lpwstr>Vqrdtemplateclean_en-corr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Enabled">
    <vt:lpwstr>true</vt:lpwstr>
  </property>
  <property fmtid="{D5CDD505-2E9C-101B-9397-08002B2CF9AE}" pid="67" name="MSIP_Label_0eea11ca-d417-4147-80ed-01a58412c458_SetDate">
    <vt:lpwstr>2022-03-23T10:27:32Z</vt:lpwstr>
  </property>
  <property fmtid="{D5CDD505-2E9C-101B-9397-08002B2CF9AE}" pid="68" name="MSIP_Label_0eea11ca-d417-4147-80ed-01a58412c458_Method">
    <vt:lpwstr>Standard</vt:lpwstr>
  </property>
  <property fmtid="{D5CDD505-2E9C-101B-9397-08002B2CF9AE}" pid="69" name="MSIP_Label_0eea11ca-d417-4147-80ed-01a58412c458_Name">
    <vt:lpwstr>0eea11ca-d417-4147-80ed-01a58412c458</vt:lpwstr>
  </property>
  <property fmtid="{D5CDD505-2E9C-101B-9397-08002B2CF9AE}" pid="70" name="MSIP_Label_0eea11ca-d417-4147-80ed-01a58412c458_SiteId">
    <vt:lpwstr>bc9dc15c-61bc-4f03-b60b-e5b6d8922839</vt:lpwstr>
  </property>
  <property fmtid="{D5CDD505-2E9C-101B-9397-08002B2CF9AE}" pid="71" name="MSIP_Label_0eea11ca-d417-4147-80ed-01a58412c458_ActionId">
    <vt:lpwstr>1b0ffa75-76eb-439c-a3ad-051ead80547e</vt:lpwstr>
  </property>
  <property fmtid="{D5CDD505-2E9C-101B-9397-08002B2CF9AE}" pid="72" name="MSIP_Label_0eea11ca-d417-4147-80ed-01a58412c458_ContentBits">
    <vt:lpwstr>2</vt:lpwstr>
  </property>
  <property fmtid="{D5CDD505-2E9C-101B-9397-08002B2CF9AE}" pid="73" name="ContentTypeId">
    <vt:lpwstr>0x010100402D3DC32CFF4A4485D9CC3DE50D0ECF</vt:lpwstr>
  </property>
  <property fmtid="{D5CDD505-2E9C-101B-9397-08002B2CF9AE}" pid="74" name="TaxCatchAll">
    <vt:lpwstr/>
  </property>
  <property fmtid="{D5CDD505-2E9C-101B-9397-08002B2CF9AE}" pid="75" name="lcf76f155ced4ddcb4097134ff3c332f">
    <vt:lpwstr/>
  </property>
  <property fmtid="{D5CDD505-2E9C-101B-9397-08002B2CF9AE}" pid="76" name="Datum">
    <vt:lpwstr/>
  </property>
</Properties>
</file>